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lavande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linalyl acetate, cineole,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1,0766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lavanda. Muschio. Rurale.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0,8813</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lavande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lavande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ethylene brassylate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linalyl acetate, cineole, coumarin.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lavande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lavande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A55762A-E589-457D-9C5A-38D43E7F94C6}"/>
</file>

<file path=customXml/itemProps3.xml><?xml version="1.0" encoding="utf-8"?>
<ds:datastoreItem xmlns:ds="http://schemas.openxmlformats.org/officeDocument/2006/customXml" ds:itemID="{0933D07B-0C28-45E3-AF3C-91DE15419DD9}"/>
</file>

<file path=customXml/itemProps4.xml><?xml version="1.0" encoding="utf-8"?>
<ds:datastoreItem xmlns:ds="http://schemas.openxmlformats.org/officeDocument/2006/customXml" ds:itemID="{E03E52C7-92DD-4BCC-8345-0220070690E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