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lavande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39CDAC99" w14:textId="77777777">
      <w:pPr>
        <w:pStyle w:val="SDSTextNormal"/>
        <w:bidi w:val="0"/>
        <w:rPr>
          <w:rtl w:val="0"/>
        </w:rPr>
      </w:pPr>
      <w:r w:rsidRPr="0069446B">
        <w:rPr>
          <w:rtl w:val="0"/>
        </w:rPr>
        <w:t>Nessuna ulteriore informazione disponibile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linalyl acetate, cineole, coumarin, geraniolo; (2E)-3,7-dimetilotta-2,6-dien-1-olo.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Solido infiammabile.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Nessuna fiamma libera, nessuna scintilla e non fumare.</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Raccogliere meccanicamente il prodotto. Informare le autorità se il prodotto viene immesso nella rete fognaria o in acque pubbliche.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 Tenere lontano da fonti di calore, superfici calde, scintille, fiamme libere o altre fonti di accensione. Non fumare. Mettere a terra/massa il contenitore e il dispositivo ricevente.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Mettere a terra/massa il contenitore e il dispositivo ricevente.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in luogo fresco. Proteggere dai raggi solari. Tenere lontano dalle fonti di accensione.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lavanda. Muschio. Rurale.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Solido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sidRPr="0069446B">
        <w:rPr>
          <w:noProof/>
        </w:rPr>
        <w:t>Solido infiammabile.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Evitare il contatto con superfici calde. Calore. Nessuna fiamma, nessuna scintilla. Eliminare ogni sorgente d’ignizione.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di peso corporeo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lavande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lavande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cineole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ethylene brassylate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linalyl acetate, cineole, coumarin, geraniolo; (2E)-3,7-dimetilotta-2,6-dien-1-olo.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lavande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lavande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01/06/2026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5564BC6-915E-415B-BB47-6CC661EAC376}"/>
</file>

<file path=customXml/itemProps3.xml><?xml version="1.0" encoding="utf-8"?>
<ds:datastoreItem xmlns:ds="http://schemas.openxmlformats.org/officeDocument/2006/customXml" ds:itemID="{22A89E28-6ACD-4417-A2DA-E099145F699B}"/>
</file>

<file path=customXml/itemProps4.xml><?xml version="1.0" encoding="utf-8"?>
<ds:datastoreItem xmlns:ds="http://schemas.openxmlformats.org/officeDocument/2006/customXml" ds:itemID="{44E27D7D-9390-4DC7-ACFB-5713D607D03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