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jasmin estival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linalyl acetate; geraniolo; pentadecan-15-olide; cinnamaldehyde; Eugenol;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P333+P313 - In caso di irritazione o eruzione della pelle: Consultare un medico.</w:t>
              <w:br/>
              <w:t>P501 - Smaltire il prodotto/recipiente in un centro di smistamento, in conformità con la normativa locale.</w:t>
              <w:br/>
              <w:t>P302+P352 - IN CASO DI CONTATTO CON LA PELLE: lavare abbondantemente con acqua e sapone.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geraniolo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140-11-4</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2,223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pentadecan-15-olide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106-02-5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203-354-6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rugiada. Narciso. Piccante.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linalyl acetate (115-95-7)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9000 mg/kg di peso corporeo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geraniolo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di peso corporeo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pentadecan-15-olide (106-02-5)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EU Method B.1 tris (Acute Oral Toxicity - Acute Toxic Class Method),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EU Method B.3 (Acute Toxicity (Dermal)),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di peso corporeo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di peso corporeo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geraniolo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geraniolo (106-24-1)</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di peso corporeo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pentadecan-15-olide (106-02-5)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1000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di peso corporeo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di peso corporeo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jasmin estival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linalyl acetate (115-95-7)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11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geraniolo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pentadecan-15-olide (106-02-5)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0,797 mg/l Test organisms (species): Oncorhynchus mykiss (previous name: Salmo gairdneri)</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0,17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&gt; 0,47 mg/l Test organisms (species): Desmodesmus subspicatus (previous name: Scenedesmus subspicatus)</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0,127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0,068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0,027 mg/l Test organisms (species): Pimephales promelas Duration: '33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92 mg/l Test organisms (species): Desmodesmus subspicatus (previous name: Scenedesmus subspicatus)</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jasmin estival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linalyl acetate (115-95-7)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geraniolo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pentadecan-15-olide (106-02-5)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linalyl acetate ; geraniolo ; cinnamaldehyde ; Eugenol ; linalool ; alpha-pinene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15/06/2026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15/06/2026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jasmin estival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jasmin estival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15/06/2026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6DFD223-B77A-4F1E-BE4C-4C9AD09F4F02}"/>
</file>

<file path=customXml/itemProps3.xml><?xml version="1.0" encoding="utf-8"?>
<ds:datastoreItem xmlns:ds="http://schemas.openxmlformats.org/officeDocument/2006/customXml" ds:itemID="{FBCAC242-F21C-4C11-93E7-3F5C7E8F7F25}"/>
</file>

<file path=customXml/itemProps4.xml><?xml version="1.0" encoding="utf-8"?>
<ds:datastoreItem xmlns:ds="http://schemas.openxmlformats.org/officeDocument/2006/customXml" ds:itemID="{4C885B3F-15B5-4091-85C6-26814EC9F53B}"/>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