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jardin de pringtemps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linalool, linalyl acetate, LIMONENE.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0,3815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cis-3-hexenyl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65405-77-8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265-745-8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Acute 1, H400</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Giallo. 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In polvere. Floreale. Verde.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cis-3-hexenyl salicylate (65405-77-8)</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cis-3-hexenyl salicylate (65405-77-8)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 mg/kg di peso corporeo Animal: rat, Guideline: OECD Guideline 422 (Combined Repeated Dose Toxicity Study with the Reproduction / Developmental Toxicity Screening Test)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jardin de pringtemps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cis-3-hexenyl salicylate (65405-77-8)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0,65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jardin de pringtemps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cis-3-hexenyl salicylate (65405-77-8)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linalool ; linalyl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linalool, linalyl acetate, LIMONENE.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jardin de pringtemps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jardin de pringtemps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09/06/2026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18D50A5-6C1C-400C-AB2A-733C3F2E46F2}"/>
</file>

<file path=customXml/itemProps3.xml><?xml version="1.0" encoding="utf-8"?>
<ds:datastoreItem xmlns:ds="http://schemas.openxmlformats.org/officeDocument/2006/customXml" ds:itemID="{C51AC4BB-9A50-4D1A-A90A-2CBEA141FB45}"/>
</file>

<file path=customXml/itemProps4.xml><?xml version="1.0" encoding="utf-8"?>
<ds:datastoreItem xmlns:ds="http://schemas.openxmlformats.org/officeDocument/2006/customXml" ds:itemID="{C90E0190-B310-431B-BBBD-FE3AA7B140F5}"/>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