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LIMONENE. Può provocare una reazione allergica.</w:t>
              <w:b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Giallo. 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Floreale. Verde.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LIMONENE. Può provocare una reazione allergica.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641F474-CD4A-432E-AE5C-8B561877E8B0}"/>
</file>

<file path=customXml/itemProps3.xml><?xml version="1.0" encoding="utf-8"?>
<ds:datastoreItem xmlns:ds="http://schemas.openxmlformats.org/officeDocument/2006/customXml" ds:itemID="{7CC24BBF-65E1-4B71-86EB-059128DBA8AD}"/>
</file>

<file path=customXml/itemProps4.xml><?xml version="1.0" encoding="utf-8"?>
<ds:datastoreItem xmlns:ds="http://schemas.openxmlformats.org/officeDocument/2006/customXml" ds:itemID="{31EAA305-6B57-49AD-AB94-5B1067807DE2}"/>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