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jardin de larmes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EUGENOL, linalool, linalyl acetate, etere metilico di cedro, [3R-(3α,3aβ,6α,7β,8aα)]-octahydro-3,6,8,8-tetramethyl-1H-3a,7-methanoazulen-5-yl acetate, 1-(1,2,3,4,5,6,7,8-octahydro-2,3,8,8-tetramethyl-2-naphthyl)ethan-1-one, acetyl cedrene, cineole.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105-95-3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Piccante.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male, Guideline: OECD Guideline 423 (Acute Oral toxicity - Acute Toxic Class Method)</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 1500 mg/kg di peso corporeo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di peso corporeo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di peso corporeo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(subcronica,orale,animale/maschio,90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di peso corporeo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(subcronica,orale,animale/femmina,90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di peso corporeo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di peso corporeo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di peso corporeo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jardin de larmes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jardin de larmes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Eugenol ; linalool ; linalyl acetate ; [3R-(3α,3aβ,6α,7β,8aα)]-octahydro-3,6,8,8-tetramethyl-1H-3a,7-methanoazulen-5-yl acetate ; acetyl cedrene ; cineole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[3R-(3α,3aβ,6α,7β,8aα)]-octahydro-3,6,8,8-tetramethyl-1H-3a,7-methanoazulen-5-yl acetate ; acetyl cedrene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EUGENOL, linalool, linalyl acetate, etere metilico di cedro, [3R-(3α,3aβ,6α,7β,8aα)]-octahydro-3,6,8,8-tetramethyl-1H-3a,7-methanoazulen-5-yl acetate, 1-(1,2,3,4,5,6,7,8-octahydro-2,3,8,8-tetramethyl-2-naphthyl)ethan-1-one, acetyl cedrene, cineole.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jardin de larmes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jardin de larmes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01/06/2026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8579B87-A651-40EA-A117-137F9D4D083F}"/>
</file>

<file path=customXml/itemProps3.xml><?xml version="1.0" encoding="utf-8"?>
<ds:datastoreItem xmlns:ds="http://schemas.openxmlformats.org/officeDocument/2006/customXml" ds:itemID="{1E324935-0DF3-426B-8CB4-E07994766FC1}"/>
</file>

<file path=customXml/itemProps4.xml><?xml version="1.0" encoding="utf-8"?>
<ds:datastoreItem xmlns:ds="http://schemas.openxmlformats.org/officeDocument/2006/customXml" ds:itemID="{EE9CE951-FDB2-428C-8053-859002DE307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