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iris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pentadecan-15-olide; alpha-iso-methylionone; [3R-(3α,3aβ,6α,7β,8aα)]-octahydro-3,6,8,8-tetramethyl-1H-3a,7-methanoazulen-5-yl acetate; isoeugenol; 2-isopropoxyethyl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106-02-5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[3R-(3α,3aβ,7β,8aα)]-2,3,4,7,8,8a-hexahydro-3,8,8-trimethyl-1H-3a,7-methanoazulene-6-methyl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1405-92-1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215-789-9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Ambra. Iridescente.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alpha-iso-methylionone (127-51-5)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di peso corporeo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2-isopropoxyethyl salicylate (79915-74-5)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di peso corporeo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 Guideline: EU Method B.3 (Acute Toxicity (Dermal)), Guideline: EPA OPPTS 870.1200 (Acute Dermal Toxicity),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alpha-iso-methylionone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alpha-iso-methylionone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2-isopropoxyethyl salicylate (79915-74-5)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 200 mg/kg di peso corporeo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alpha-iso-methylionone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di peso corporeo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iris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alpha-iso-methylionone (127-51-5)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2-isopropoxyethyl salicylate (79915-74-5)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3,7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9,5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3,5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iris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pentadecan-15-olide (106-02-5)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[3R-(3α,3aβ,7β,8aα)]-2,3,4,7,8,8a-hexahydro-3,8,8-trimethyl-1H-3a,7-methanoazulene-6-methyl acetate (1405-92-1)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 ; [3R-(3α,3aβ,6α,7β,8aα)]-octahydro-3,6,8,8-tetramethyl-1H-3a,7-methanoazulen-5-yl acetate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 ; [3R-(3α,3aβ,6α,7β,8aα)]-octahydro-3,6,8,8-tetramethyl-1H-3a,7-methanoazulen-5-yl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iris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iris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07/07/2026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966CF82-E3EC-4D75-B0A5-AF98785C959C}"/>
</file>

<file path=customXml/itemProps3.xml><?xml version="1.0" encoding="utf-8"?>
<ds:datastoreItem xmlns:ds="http://schemas.openxmlformats.org/officeDocument/2006/customXml" ds:itemID="{03E3A3F9-C382-4CC2-8D76-1D5261DEABA4}"/>
</file>

<file path=customXml/itemProps4.xml><?xml version="1.0" encoding="utf-8"?>
<ds:datastoreItem xmlns:ds="http://schemas.openxmlformats.org/officeDocument/2006/customXml" ds:itemID="{7E74DD3C-AEE9-43C3-8491-464C12F6C0A8}"/>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