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in cuir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pentadecan-15-olide, (E)-1-(2,6,6-trimethyl-1,3-cyclohexadien-1-yl)-2-buten-1-one.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6,347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 Pelle. Cipro.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di peso corporeo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di peso corporeo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in cuir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in cuir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pentadecan-15-olide, (E)-1-(2,6,6-trimethyl-1,3-cyclohexadien-1-yl)-2-buten-1-one.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in cuir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in cuir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01/04/2026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A821A93-DB83-4310-9382-BA9651E0296C}"/>
</file>

<file path=customXml/itemProps3.xml><?xml version="1.0" encoding="utf-8"?>
<ds:datastoreItem xmlns:ds="http://schemas.openxmlformats.org/officeDocument/2006/customXml" ds:itemID="{DC7DA8E3-C64A-4403-9639-976EBA69A414}"/>
</file>

<file path=customXml/itemProps4.xml><?xml version="1.0" encoding="utf-8"?>
<ds:datastoreItem xmlns:ds="http://schemas.openxmlformats.org/officeDocument/2006/customXml" ds:itemID="{0D27E2CA-8A60-4428-8529-33227017CB63}"/>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