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in bois de oud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DIHYDRO PENTAMETHYLINDANONE, linalool.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33704-61-9</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Orientale. balsamico. Piccante. Fruttato.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di peso corporeo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di peso corporeo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di peso corporeo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di peso corporeo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(animale/maschio,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di peso corporeo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in bois de oud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in bois de oud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cashmeran (33704-61-9)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cronico, categoria 2</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DIHYDRO PENTAMETHYLINDANONE, linalool.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in bois de oud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in bois de oud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12/10/2026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DE2E5A2-E02E-45EF-A223-D1FC59FBD586}"/>
</file>

<file path=customXml/itemProps3.xml><?xml version="1.0" encoding="utf-8"?>
<ds:datastoreItem xmlns:ds="http://schemas.openxmlformats.org/officeDocument/2006/customXml" ds:itemID="{AB622BE0-A1C9-4112-864D-5FF67DD25049}"/>
</file>

<file path=customXml/itemProps4.xml><?xml version="1.0" encoding="utf-8"?>
<ds:datastoreItem xmlns:ds="http://schemas.openxmlformats.org/officeDocument/2006/customXml" ds:itemID="{9A7B7F87-4834-498B-9743-8F465FE26F7D}"/>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