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framboise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1-(2,6,6-trimethyl-3-cyclohexen-1-yl)-2-buten-1-one;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classificato</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inalazione),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Floreale.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di peso corporeo Animal: rat, Animal sex: male, Guideline: OECD Guideline 401 (Acute Oral Toxicity), 95% CL: 1,33 - 1,54</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di peso corporeo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di peso corporeo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framboise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framboise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(esposizione ripetuta) Non classificato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 feto.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framboise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framboise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27/07/2026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43CFB8E-27B6-4B96-ABD0-036CA4AE9742}"/>
</file>

<file path=customXml/itemProps3.xml><?xml version="1.0" encoding="utf-8"?>
<ds:datastoreItem xmlns:ds="http://schemas.openxmlformats.org/officeDocument/2006/customXml" ds:itemID="{71DD8264-349B-49F8-ABE7-B89B308D610B}"/>
</file>

<file path=customXml/itemProps4.xml><?xml version="1.0" encoding="utf-8"?>
<ds:datastoreItem xmlns:ds="http://schemas.openxmlformats.org/officeDocument/2006/customXml" ds:itemID="{D652E5E1-D2FA-458D-845C-2A10AAB97C3E}"/>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