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frangipanier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α-hexylcinnamaldehyde; cinnamaldehyde; 3,7-dimethyloctan-3-ol; cinnamyl alcohol; 7-hydroxycitronellal; geraniol; benzyl salicylate; Eugenol; citral; cyclamen aldehyde; isopentyl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(ATE=1610 mg/kg)</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gelsomino. mughetto.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di peso corporeo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di peso corporeo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di peso corporeo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di peso corporeo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di peso corporeo Animal: rat, Guideline: OECD Guideline 410 (Repeated Dose Dermal Toxicity: 21/28-Day Study), Guideline: EU Method B.9 (Repeated Dose (28 Days) Toxicity (Dermal))</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frangipanier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0,14 mg/l Test organisms (species): Danio rerio (previous name: Brachydanio rerio)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frangipanier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cinnamaldehyde ; 3,7-dimethyloctan-3-ol ; cinnamyl alcohol ; 7-hydroxycitronellal ; geraniol ; Cyclopentanone, 2-[2-(4-methyl-3-cyclohexen-1-yl)propyl]- ; Eugenol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cinnamyl alcohol ; Cyclopentanone, 2-[2-(4-methyl-3-cyclohexen-1-yl)propyl]-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frangipanier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frangipanier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20/05/2026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68686A1-5FF0-4952-8615-B2221E868B8A}"/>
</file>

<file path=customXml/itemProps3.xml><?xml version="1.0" encoding="utf-8"?>
<ds:datastoreItem xmlns:ds="http://schemas.openxmlformats.org/officeDocument/2006/customXml" ds:itemID="{A1D2D9F1-FE88-4045-870F-CBF4C787D2B3}"/>
</file>

<file path=customXml/itemProps4.xml><?xml version="1.0" encoding="utf-8"?>
<ds:datastoreItem xmlns:ds="http://schemas.openxmlformats.org/officeDocument/2006/customXml" ds:itemID="{1D0B579F-A709-491D-B8D6-DD8A28DFA0F2}"/>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