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coton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geraniolo; (2E)-3,7-dimetilotta-2,6-dien-1-olo, citronellol, alpha-iso-methylionone, nerol, pentadecan-15-olide, linalool, [3R-(3α,3aβ,6α,7β,8aα)]-octahydro-3,6,8,8-tetramethyl-1H-3a,7-methanoazulen-5-yl acetate, HYDROXYCITRONELLAL, coumarin, TRIMETHYLTRICYCLODODECANYL ACETATE.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In polvere. legnoso. Vaniglia.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geraniolo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di peso corporeo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di peso corporeo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geraniolo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coton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geraniolo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coton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geraniolo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geraniolo; (2E)-3,7-dimetilotta-2,6-dien-1-olo, citronellol, alpha-iso-methylionone, nerol, pentadecan-15-olide, linalool, [3R-(3α,3aβ,6α,7β,8aα)]-octahydro-3,6,8,8-tetramethyl-1H-3a,7-methanoazulen-5-yl acetate, HYDROXYCITRONELLAL, coumarin, TRIMETHYLTRICYCLODODECANYL ACETATE.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coton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Candela fleur de coton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secondo il Regolamento REACH (CE) 1907/2006 modificato dal Regolamento (UE) 2020/878</w:t>
          </w:r>
        </w:p>
        <w:p w:rsidR="009C6C12" w:rsidRPr="008F5B08" w:rsidP="008F5B08" w14:paraId="31267F45" w14:textId="67A5CBF0">
          <w:pPr>
            <w:pStyle w:val="SDSTableTextHeader"/>
          </w:pPr>
          <w:r>
            <w:rPr>
              <w:noProof/>
            </w:rPr>
            <w:t>Data di pubblicazione: 22/05/2026   Data di revisione: 18/06/2026   Versione: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EE2CCE2-B2B0-424A-AC1B-34D79447A68D}"/>
</file>

<file path=customXml/itemProps3.xml><?xml version="1.0" encoding="utf-8"?>
<ds:datastoreItem xmlns:ds="http://schemas.openxmlformats.org/officeDocument/2006/customXml" ds:itemID="{313C650F-743C-4397-A41C-8F4FA4B1A0CF}"/>
</file>

<file path=customXml/itemProps4.xml><?xml version="1.0" encoding="utf-8"?>
<ds:datastoreItem xmlns:ds="http://schemas.openxmlformats.org/officeDocument/2006/customXml" ds:itemID="{58BCD63E-7E77-4D06-BBE6-727C061955AC}"/>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