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d'eau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7-hydroxycitronellal; geraniolo; 1-(1,2,3,4,5,6,7,8-octahydro-2,3,8,8-tetramethyl-2-naphthyl)ethan-1-one; isopentyl salicylate; linalool; [3R-(3α,3aβ,6α,7β,8aα)]-octahydro-3,6,8,8-tetramethyl-1H-3a,7-methanoazulen-5-yl acetate; α-methyl-1,3-benzodioxole-5-propionaldehyde;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P333+P313 - In caso di irritazione o eruzione della pelle: Consultare un medico.</w:t>
              <w:br/>
              <w:t>P501 - Smaltire il prodotto/recipiente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erbaceo. Marino. legnoso. aromatico.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di peso corporeo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geraniolo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di peso corporeo Animal: rat, Animal sex: male, Guideline: OECD Guideline 422 (Combined Repeated Dose Toxicity Study with the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 mg/kg di peso corporeo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d'eau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d'eau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7-hydroxycitronellal (107-75-5)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[3R-(3α,3aβ,6α,7β,8aα)]-octahydro-3,6,8,8-tetramethyl-1H-3a,7-methanoazulen-5-yl acetate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geraniolo ; linalool ; [3R-(3α,3aβ,6α,7β,8aα)]-octahydro-3,6,8,8-tetramethyl-1H-3a,7-methanoazulen-5-yl acetate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13/04/2026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13/04/2026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d'eau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d'eau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13/04/2026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702F8F8-FCE3-4471-8A37-5B5BF17319B1}"/>
</file>

<file path=customXml/itemProps3.xml><?xml version="1.0" encoding="utf-8"?>
<ds:datastoreItem xmlns:ds="http://schemas.openxmlformats.org/officeDocument/2006/customXml" ds:itemID="{D6057880-DAB5-4EF2-A9E6-4089B3817984}"/>
</file>

<file path=customXml/itemProps4.xml><?xml version="1.0" encoding="utf-8"?>
<ds:datastoreItem xmlns:ds="http://schemas.openxmlformats.org/officeDocument/2006/customXml" ds:itemID="{E64F8078-56AF-4F1B-BB65-8C5C09EB7030}"/>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