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d'amandier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α-hexylcinnamaldehyde, 1-(1,2,3,4,5,6,7,8-octahydro-2,3,8,8-tetramethyl-2-naphthyl)ethan-1-one, hexyl salicylate, coumarin, linalool, Acétate de 4-tert-butylcyclohexyle, isopentyl salicylate.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0,5187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228-408-6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Repr. 2, H361</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beta-methylionone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2-tert-butylbenzene-1,4-diol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1948-33-0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217-752-2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(ATE=700 mg/kg)</w:t>
              <w:br/>
              <w:t>Acute Tox. 4 (per via cutanea), H312 (ATE=1000 mg/kg)</w:t>
              <w:br/>
              <w:t>Skin Irrit. 2, H315</w:t>
              <w:br/>
              <w:t>Eye Irrit. 2, H319</w:t>
              <w:br/>
              <w:t>Skin Sens. 1, H317</w:t>
              <w:br/>
              <w:t>Aquatic Acute 1, H400</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Mandorla. Muschio. In polvere. Floreale.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2-tert-butylbenzene-1,4-diol (1948-33-0)</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951 mg/kg di peso corporeo Animal: rat, Animal sex: 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2-tert-butylbenzene-1,4-diol (1948-33-0)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880 mg/kg di peso corporeo Animal: mouse,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(animale/femmina,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250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2-tert-butylbenzene-1,4-diol (1948-33-0)</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200 mg/kg di peso corporeo Animal: rat, Animal sex: female, Guideline: other:</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di peso corporeo Animal: rat, Animal sex: 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d'amandier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2-tert-butylbenzene-1,4-diol (1948-33-0)</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0,3 – 0,48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0,57 mg/l Test organisms (species): Daphnia magna</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0,05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0,004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d'amandier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beta-methylionone (127-43-5)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2-tert-butylbenzene-1,4-diol (1948-33-0)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α-hexylcinnamaldehyde, 1-(1,2,3,4,5,6,7,8-octahydro-2,3,8,8-tetramethyl-2-naphthyl)ethan-1-one, hexyl salicylate, coumarin, linalool, Acétate de 4-tert-butylcyclohexyle, isopentyl salicylate.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d'amandier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d'amandier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22/06/2026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A7351D6-FDA6-4F6D-AF70-9CFDA94B323E}"/>
</file>

<file path=customXml/itemProps3.xml><?xml version="1.0" encoding="utf-8"?>
<ds:datastoreItem xmlns:ds="http://schemas.openxmlformats.org/officeDocument/2006/customXml" ds:itemID="{01A107FA-3FA1-4F42-BFCA-153339D5DAEE}"/>
</file>

<file path=customXml/itemProps4.xml><?xml version="1.0" encoding="utf-8"?>
<ds:datastoreItem xmlns:ds="http://schemas.openxmlformats.org/officeDocument/2006/customXml" ds:itemID="{37AFC625-3129-465B-B859-1385394147A1}"/>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