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feu de bois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Acétate de 4-tert-butylcyclohexyle, cashmeran.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Pelle.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cashmeran (33704-61-9)</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2685 mg/kg di peso corporeo Animal: rat, Animal sex: female, Guideline: OECD Guideline 401 (Acute Oral Toxicity), 95% CL: 2043 - 3529</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di peso corporeo Animal: rat, Animal sex: male, Guideline: OECD Guideline 421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1875 mg/kg di peso corporeo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(animale/maschio,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di peso corporeo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cashmeran (33704-61-9)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feu de bois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cashmeran (33704-61-9)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1,7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feu de bois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Acétate de 4-tert-butylcyclohexyle, cashmeran.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feu de bois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feu de bois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09/06/2026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B877BB8-3F9B-4D95-81F6-68D556452EC3}"/>
</file>

<file path=customXml/itemProps3.xml><?xml version="1.0" encoding="utf-8"?>
<ds:datastoreItem xmlns:ds="http://schemas.openxmlformats.org/officeDocument/2006/customXml" ds:itemID="{C8B5CAB9-64A6-4942-9083-BC5959C723A2}"/>
</file>

<file path=customXml/itemProps4.xml><?xml version="1.0" encoding="utf-8"?>
<ds:datastoreItem xmlns:ds="http://schemas.openxmlformats.org/officeDocument/2006/customXml" ds:itemID="{4FED5270-D1ED-46AE-9FC7-0D33EA3FA27C}"/>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