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di pin des landes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Solidi infiammabili Non classificato</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2,4-DIMETHYL-3-CYCLOHEXENE CARBOXALDEHYDE, PINENE.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pin-2(3)-ene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80-56-8</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0,1554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3, H226</w:t>
              <w:br/>
              <w:t>Acute Tox. 4 (per via orale), H302 (ATE=500 mg/kg di peso corporeo)</w:t>
              <w:br/>
              <w:t>Skin Irrit. 2, H315</w:t>
              <w:br/>
              <w:t>Skin Sens. 1B, H317</w:t>
              <w:br/>
              <w:t>Asp. Tox. 1, H304</w:t>
              <w:br/>
              <w:t>Aquatic Acute 1, H400</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2,4-dimethylcyclohex-3-ene-1-carbaldehyde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68039-49-6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268-264-1</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605-043-00-4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Legnoso. Fruttato. Schiuma.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pin-2(3)-ene (80-56-8)</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 Guideline: EU Method B.3 (Acute Toxicity (Dermal))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di pin des landes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pin-2(3)-ene (80-56-8)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0,303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0,475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Candela di pin des landes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2,4-dimethylcyclohex-3-ene-1-carbaldehyde (68039-49-6)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2,4-dimethylcyclohex-3-ene-1-carbaldehyde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acetate ; 2,4-dimethylcyclohex-3-ene-1-carbaldehyde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Non classificato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Solidi infiammabili Non classificato</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2,4-DIMETHYL-3-CYCLOHEXENE CARBOXALDEHYDE, PINENE.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Non classificato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Giudizio di esperti</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21/10/2026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21/10/2026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di pin des landes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di pin des landes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21/10/2026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825D624-9D9D-4345-9922-27FD86DEF1CA}"/>
</file>

<file path=customXml/itemProps3.xml><?xml version="1.0" encoding="utf-8"?>
<ds:datastoreItem xmlns:ds="http://schemas.openxmlformats.org/officeDocument/2006/customXml" ds:itemID="{E4D7F7BC-85FB-43F5-ABF3-ED160860A967}"/>
</file>

<file path=customXml/itemProps4.xml><?xml version="1.0" encoding="utf-8"?>
<ds:datastoreItem xmlns:ds="http://schemas.openxmlformats.org/officeDocument/2006/customXml" ds:itemID="{81AFD138-A631-447E-BC9D-DF68DDFEA0DD}"/>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