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di guimauve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benzyl alcohol, DIMETHYLHYDROXY FURANONE.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3,9956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0,5831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0,4081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Corr. 1B, H314</w:t>
              <w:br/>
              <w:t>Eye Dam. 1, H318</w:t>
              <w:br/>
              <w:t>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Anche se non sono stati definiti rischi specifici, gli addetti al primo soccorso devono indossare una protezione per gli occhi, guanti e semimaschera monouso. Se c'è il rischio di esposizione ripetuta o prolungata, è opportuno considerare una protezione aggiuntiva.</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Vaniglia. Gourmand. latte.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di guimauve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di guimauve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benzyl benzoate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1, sottocategoria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ustioni cutanee e gravi lesioni oculari.</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benzyl alcohol, DIMETHYLHYDROXY FURANONE.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di guimauve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di guimauve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17/06/2026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E299F7A-2203-471A-94DE-511A369DF6F0}"/>
</file>

<file path=customXml/itemProps3.xml><?xml version="1.0" encoding="utf-8"?>
<ds:datastoreItem xmlns:ds="http://schemas.openxmlformats.org/officeDocument/2006/customXml" ds:itemID="{D9EC2FA6-AA40-45D1-B414-C8ADBCC60152}"/>
</file>

<file path=customXml/itemProps4.xml><?xml version="1.0" encoding="utf-8"?>
<ds:datastoreItem xmlns:ds="http://schemas.openxmlformats.org/officeDocument/2006/customXml" ds:itemID="{DFAF6802-0F8C-40F9-99D9-7A892C41D51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