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cupcake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(per via orale), H302 (ATE=500 mg/kg di peso corporeo)</w:t>
              <w:br/>
              <w:t>Acute Tox. 3 (per inalazione),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Diacetile (Butanedione)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Vaniglia. Gourmand. latte.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Tossicità specifica per organi bersaglio (STOT) — esposizione ripetuta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Può provocare danni agli organi in caso di esposizione prolungata o ripetuta.</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cupcake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cupcake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ripetuta,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facilmente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danni agli organi in caso di esposizione prolungata o ripetuta.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cupcake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cupcake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C6CED61-1F0A-42E5-9A87-92E3882F095B}"/>
</file>

<file path=customXml/itemProps3.xml><?xml version="1.0" encoding="utf-8"?>
<ds:datastoreItem xmlns:ds="http://schemas.openxmlformats.org/officeDocument/2006/customXml" ds:itemID="{1AEC175E-972B-4D76-B640-1DE9D19303B3}"/>
</file>

<file path=customXml/itemProps4.xml><?xml version="1.0" encoding="utf-8"?>
<ds:datastoreItem xmlns:ds="http://schemas.openxmlformats.org/officeDocument/2006/customXml" ds:itemID="{CB0556D4-A94F-497D-A991-151F03378F5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