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cupcake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cinnamaldehyde; piperonal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3-ethoxy-4-hydroxybenzaldehyde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121-32-4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piperonal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120-57-0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H361fd</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butanedione</w:t>
            </w:r>
          </w:p>
          <w:p w:rsidR="00827634" w:rsidRPr="0069446B" w:rsidP="009B0F88" w14:paraId="147D3D58" w14:textId="33B2CEBF">
            <w:pPr>
              <w:pStyle w:val="SDSTableTextNormal"/>
              <w:rPr>
                <w:noProof w:val="0"/>
              </w:rPr>
            </w:pPr>
            <w:r w:rsidRPr="0069446B">
              <w:rPr>
                <w:noProof/>
              </w:rPr>
              <w:t>sostanza con dei valori limite nazionali di esposizione professionale (IT); sostanza con un limite comunitario di esposizione sul posto di lavoro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431-03-8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207-069-8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2, H225</w:t>
              <w:br/>
              <w:t>Acute Tox. 4 (per via orale), H302 (ATE=500 mg/kg di peso corporeo)</w:t>
              <w:br/>
              <w:t>Acute Tox. 3 (per inalazione), H331</w:t>
              <w:br/>
              <w:t>Skin Irrit. 2, H315</w:t>
              <w:br/>
              <w:t>Eye Dam. 1, H318</w:t>
              <w:br/>
              <w:t>Skin Sens. 1, H317</w:t>
              <w:br/>
              <w:t>STOT RE 2, H373</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B077C8" w:rsidRPr="0069446B" w:rsidP="00B077C8" w14:paraId="76C830A6" w14:textId="7C05BC4C">
      <w:pPr>
        <w:pStyle w:val="SDSTextHeading3"/>
        <w:rPr>
          <w:noProof w:val="0"/>
          <w:color w:val="auto"/>
          <w:lang w:val="en-US"/>
        </w:rPr>
      </w:pPr>
      <w:r w:rsidRPr="0069446B">
        <w:rPr>
          <w:noProof/>
          <w:color w:val="auto"/>
          <w:lang w:val="en-US"/>
        </w:rPr>
        <w:t>Valori limite nazionali di esposizione professionale e biologici</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butanedione</w:t>
            </w:r>
            <w:r w:rsidRPr="0069446B">
              <w:rPr>
                <w:noProof w:val="0"/>
                <w:color w:val="auto"/>
              </w:rPr>
              <w:t xml:space="preserve"> </w:t>
            </w:r>
            <w:r w:rsidRPr="0069446B" w:rsidR="00FD53E4">
              <w:rPr>
                <w:noProof/>
                <w:color w:val="auto"/>
              </w:rPr>
              <w:t>(431-03-8)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Valore Limite Indicativo di Esposizione Professionale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Nome locale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Diacetyl; Butanedione</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3C"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0,36 mg/m³</w:t>
            </w:r>
          </w:p>
        </w:tc>
      </w:tr>
      <w:tr w14:paraId="70951C3D"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0,1 ppm</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Riferimento normativo</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(EU) 2017/164</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Italia - Valori limite di esposizione professionale</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Nome locale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Diacetile (Butanedione)</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42"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0,36 mg/m³</w:t>
            </w:r>
          </w:p>
        </w:tc>
      </w:tr>
      <w:tr w14:paraId="70951C43"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0,1 ppm</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Riferimento normativo</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Allegato XXXVIII del D.Lgs. 9 aprile 2008, n. 81 e s.m.i. (D.Lgs. 4 settembre 2024, n. 135)</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Vaniglia. Gourmand. latte.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3-ethoxy-4-hydroxybenzaldehyde (121-32-4)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3160 mg/kg di peso corporeo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piperonal (120-57-0)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2700 mg/kg di peso corporeo Animal: rat, Guideline: OECD Guideline 401 (Acute Oral Toxicity), 95% CL: 2350 - 3100</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di peso corporeo Animal: rat, Guideline: other:,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3-ethoxy-4-hydroxybenzaldehyde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di peso corporeo Animal: rat, Animal sex: female,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piperonal (120-57-0)</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300 mg/kg di peso corporeo Animal: rat, Guideline: OECD Guideline 422 (Combined Repeated Dose Toxicity Study with the Reproduction / Developmental Toxicity Screening Test),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butanedione (431-03-8)</w:t>
            </w:r>
          </w:p>
        </w:tc>
      </w:tr>
      <w:tr w14:paraId="284BEFF8"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3AFF7EC2" w14:textId="08937FBC">
            <w:pPr>
              <w:pStyle w:val="SDSTableTextNormal"/>
              <w:rPr>
                <w:noProof w:val="0"/>
              </w:rPr>
            </w:pPr>
            <w:r w:rsidRPr="0069446B">
              <w:rPr>
                <w:noProof/>
              </w:rPr>
              <w:t>Tossicità specifica per organi bersaglio (STOT) — esposizione ripetuta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76AEBB14" w14:textId="52160869">
            <w:pPr>
              <w:pStyle w:val="SDSTableTextNormal"/>
              <w:rPr>
                <w:noProof w:val="0"/>
              </w:rPr>
            </w:pPr>
            <w:r w:rsidRPr="0069446B">
              <w:rPr>
                <w:noProof/>
              </w:rPr>
              <w:t>Può provocare danni agli organi in caso di esposizione prolungata o ripetuta.</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cupcake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3-ethoxy-4-hydroxybenzaldehyde (121-32-4)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87,6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26,2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piperonal (120-57-0)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2,5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31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6,8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1,53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cupcake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3-ethoxy-4-hydroxybenzaldehyde (121-32-4)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piperonal (120-57-0)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butanedione (431-03-8)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Contiene una o più sostanze elencate nell’elenco dei precursori di droghe (regolamento CE 273/2004 relativo alla fabbricazione e all’immissione in commercio di determinate sostanze utilizzate nella fabbricazione illecita di stupefacenti e sostanze psicotrope)</w:t>
            </w:r>
          </w:p>
        </w:tc>
      </w:tr>
    </w:tbl>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0D104D90" w14:textId="15A02BD9">
            <w:pPr>
              <w:pStyle w:val="SDSTableTextHeading1"/>
              <w:rPr>
                <w:noProof w:val="0"/>
                <w:color w:val="auto"/>
              </w:rPr>
            </w:pPr>
            <w:r w:rsidRPr="0069446B" w:rsidR="00FA7F7F">
              <w:rPr>
                <w:noProof/>
                <w:color w:val="auto"/>
              </w:rPr>
              <w:t>Nome</w:t>
            </w:r>
          </w:p>
        </w:tc>
        <w:tc>
          <w:tcPr>
            <w:tcW w:w="127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57C5252" w14:textId="5225E603">
            <w:pPr>
              <w:pStyle w:val="SDSTableTextHeading1"/>
              <w:rPr>
                <w:noProof w:val="0"/>
                <w:color w:val="auto"/>
              </w:rPr>
            </w:pPr>
            <w:r w:rsidRPr="0069446B" w:rsidR="00FA7F7F">
              <w:rPr>
                <w:noProof/>
                <w:color w:val="auto"/>
              </w:rPr>
              <w:t>Designazione NC</w:t>
            </w:r>
          </w:p>
        </w:tc>
        <w:tc>
          <w:tcPr>
            <w:tcW w:w="127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D6EF8CB" w14:textId="6606C847">
            <w:pPr>
              <w:pStyle w:val="SDSTableTextHeading1"/>
              <w:rPr>
                <w:noProof w:val="0"/>
                <w:color w:val="auto"/>
              </w:rPr>
            </w:pPr>
            <w:r w:rsidRPr="0069446B" w:rsidR="00FA7F7F">
              <w:rPr>
                <w:noProof/>
                <w:color w:val="auto"/>
              </w:rPr>
              <w:t>Numero CAS</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54B57E4" w14:textId="78E35A93">
            <w:pPr>
              <w:pStyle w:val="SDSTableTextHeading1"/>
              <w:rPr>
                <w:noProof w:val="0"/>
                <w:color w:val="auto"/>
              </w:rPr>
            </w:pPr>
            <w:r w:rsidRPr="0069446B" w:rsidR="00FA7F7F">
              <w:rPr>
                <w:noProof/>
                <w:color w:val="auto"/>
              </w:rPr>
              <w:t>Codice CN</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96366" w:rsidRPr="0069446B" w:rsidP="00E96366" w14:paraId="53D256F7" w14:textId="6CCA77A9">
            <w:pPr>
              <w:pStyle w:val="SDSTableTextHeading1"/>
              <w:rPr>
                <w:noProof w:val="0"/>
                <w:color w:val="auto"/>
              </w:rPr>
            </w:pPr>
            <w:r w:rsidRPr="0069446B" w:rsidR="00FA7F7F">
              <w:rPr>
                <w:noProof/>
                <w:color w:val="auto"/>
              </w:rPr>
              <w:t>Categoria,</w:t>
            </w:r>
          </w:p>
          <w:p w:rsidR="00A65092" w:rsidRPr="0069446B" w:rsidP="00E96366" w14:paraId="26779EFF" w14:textId="63E11907">
            <w:pPr>
              <w:pStyle w:val="SDSTableTextHeading1"/>
              <w:rPr>
                <w:noProof w:val="0"/>
                <w:color w:val="auto"/>
              </w:rPr>
            </w:pPr>
            <w:r w:rsidRPr="0069446B" w:rsidR="00FA7F7F">
              <w:rPr>
                <w:noProof/>
                <w:color w:val="auto"/>
              </w:rPr>
              <w:t>Sottocategoria</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61B55F5" w14:textId="24B2F796">
            <w:pPr>
              <w:pStyle w:val="SDSTableTextHeading1"/>
              <w:rPr>
                <w:noProof w:val="0"/>
                <w:color w:val="auto"/>
              </w:rPr>
            </w:pPr>
            <w:r w:rsidRPr="0069446B" w:rsidR="00FA7F7F">
              <w:rPr>
                <w:noProof/>
                <w:color w:val="auto"/>
              </w:rPr>
              <w:t>Soglia</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1BD701E" w14:textId="65E28E50">
            <w:pPr>
              <w:pStyle w:val="SDSTableTextHeading1"/>
              <w:rPr>
                <w:noProof w:val="0"/>
                <w:color w:val="auto"/>
              </w:rPr>
            </w:pPr>
            <w:r w:rsidRPr="0069446B" w:rsidR="00FA7F7F">
              <w:rPr>
                <w:noProof/>
                <w:color w:val="auto"/>
              </w:rPr>
              <w:t>Allegato</w:t>
            </w:r>
          </w:p>
        </w:tc>
      </w:tr>
      <w:tr w14:paraId="23D538E0" w14:textId="77777777" w:rsidTr="005C557D">
        <w:tblPrEx>
          <w:tblW w:w="10490" w:type="dxa"/>
          <w:tblLayout w:type="fixed"/>
          <w:tblLook w:val="04A0"/>
        </w:tblPrEx>
        <w:tc>
          <w:tcPr>
            <w:tcW w:w="226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073E40F" w14:textId="559D260D">
            <w:pPr>
              <w:pStyle w:val="SDSTableTextNormal"/>
              <w:rPr>
                <w:noProof w:val="0"/>
              </w:rPr>
            </w:pPr>
            <w:r w:rsidRPr="0069446B" w:rsidR="00FA7F7F">
              <w:rPr>
                <w:noProof/>
              </w:rPr>
              <w:t>Piperonale</w:t>
            </w:r>
          </w:p>
        </w:tc>
        <w:tc>
          <w:tcPr>
            <w:tcW w:w="127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900E007" w14:textId="26A7BDBB">
            <w:pPr>
              <w:pStyle w:val="SDSTableTextNormal"/>
              <w:rPr>
                <w:noProof w:val="0"/>
              </w:rPr>
            </w:pPr>
          </w:p>
        </w:tc>
        <w:tc>
          <w:tcPr>
            <w:tcW w:w="127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19F3871" w14:textId="44E22305">
            <w:pPr>
              <w:pStyle w:val="SDSTableTextNormal"/>
              <w:rPr>
                <w:noProof w:val="0"/>
              </w:rPr>
            </w:pPr>
            <w:r w:rsidRPr="0069446B" w:rsidR="00FA7F7F">
              <w:rPr>
                <w:noProof/>
              </w:rPr>
              <w:t>120-57-0</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04454755" w14:textId="57B7AB29">
            <w:pPr>
              <w:pStyle w:val="SDSTableTextNormal"/>
              <w:rPr>
                <w:noProof w:val="0"/>
              </w:rPr>
            </w:pPr>
            <w:r w:rsidRPr="0069446B" w:rsidR="00FA7F7F">
              <w:rPr>
                <w:noProof/>
              </w:rPr>
              <w:t>2932 93 00</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0CE3A27" w14:textId="126BB867">
            <w:pPr>
              <w:pStyle w:val="SDSTableTextNormal"/>
              <w:rPr>
                <w:noProof w:val="0"/>
              </w:rPr>
            </w:pPr>
            <w:r w:rsidRPr="0069446B" w:rsidR="00FA7F7F">
              <w:rPr>
                <w:noProof/>
              </w:rPr>
              <w:t>Categoria 1</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99E5CD" w14:textId="1DED112B">
            <w:pPr>
              <w:pStyle w:val="SDSTableTextNormal"/>
              <w:rPr>
                <w:noProof w:val="0"/>
              </w:rPr>
            </w:pP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511B839" w14:textId="55BB0BAA">
            <w:pPr>
              <w:pStyle w:val="SDSTableTextNormal"/>
              <w:rPr>
                <w:noProof w:val="0"/>
              </w:rPr>
            </w:pPr>
            <w:r w:rsidRPr="0069446B" w:rsidR="00FA7F7F">
              <w:rPr>
                <w:noProof/>
              </w:rPr>
              <w:t>Allegato I</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RE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ripetuta, categoria 2</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facilmente infiammabili.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se inalato.</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H361fd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Sospettato di nuocere al feto.</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danni agli organi in caso di esposizione prolungata o ripetuta.</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cupcake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cupcake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07/05/2026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514BCD0-CC4D-4F96-99D2-5A6E8690B25D}"/>
</file>

<file path=customXml/itemProps3.xml><?xml version="1.0" encoding="utf-8"?>
<ds:datastoreItem xmlns:ds="http://schemas.openxmlformats.org/officeDocument/2006/customXml" ds:itemID="{0694A45A-A662-4CED-BEC3-0680528F0BB4}"/>
</file>

<file path=customXml/itemProps4.xml><?xml version="1.0" encoding="utf-8"?>
<ds:datastoreItem xmlns:ds="http://schemas.openxmlformats.org/officeDocument/2006/customXml" ds:itemID="{7F015326-0712-430D-B455-E22B6675FF6D}"/>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