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confiture de lait 7%</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p w:rsidR="00827634" w:rsidRPr="0069446B" w:rsidP="009E5102" w14:paraId="2D05B3D4" w14:textId="5E45E9EA">
      <w:pPr>
        <w:pStyle w:val="SDSTextNormal"/>
      </w:pPr>
      <w:r w:rsidRPr="0069446B">
        <w:rPr>
          <w:noProof/>
        </w:rPr>
        <w:t>Destinato al grande pubblico</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3418E402" w14:textId="563429DC">
            <w:pPr>
              <w:pStyle w:val="SDSTableTextNormal"/>
              <w:rPr>
                <w:noProof w:val="0"/>
              </w:rPr>
            </w:pPr>
            <w:r w:rsidRPr="0069446B" w:rsidR="00FA7F7F">
              <w:rPr>
                <w:noProof/>
              </w:rPr>
              <w:t>Categoria d’uso principale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39EFFE2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6F65824" w14:textId="396EDEE7">
            <w:pPr>
              <w:pStyle w:val="SDSTableTextNormal"/>
              <w:rPr>
                <w:noProof w:val="0"/>
              </w:rPr>
            </w:pPr>
            <w:r w:rsidRPr="0069446B" w:rsidR="00FA7F7F">
              <w:rPr>
                <w:noProof/>
              </w:rPr>
              <w:t>Uso al consumo</w:t>
            </w:r>
          </w:p>
        </w:tc>
      </w:tr>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Sensibilizzazione cutanea, categoria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Testo completo delle indicazioni H e EUH: vedere la sezione 16</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sidRPr="0069446B">
        <w:rPr>
          <w:noProof/>
        </w:rPr>
        <w:t>Può provocare una reazione allergica cutanea.</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Avvertenza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Attenzione</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dihydro-5-octylfuran-2(3H)-one; benzyl alcohol; 4-hydroxy-2,5-dimethylfuran-2(3H)-one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Indicazioni di pericolo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Può provocare una reazione allergica cutanea.</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P302+P352 - IN CASO DI CONTATTO CON LA PELLE: lavare abbondantemente con acqua e sapone..</w:t>
              <w:br/>
              <w:t>P333+P313 - In caso di irritazione o eruzione della pelle: Consultare un medico.</w:t>
              <w:br/>
              <w:t>P501 - Smaltire il prodotto e recipiente in un centro di smistamento, in conformità con la normativa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alcohol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100-51-6</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202-859-9</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1,1669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(per via orale), H302 (ATE=1580 mg/kg di peso corporeo)</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anisaldehyde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123-11-5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203-212-3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0,4669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dihydro-5-octylfuran-2(3H)-one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2305-05-7</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218-971-6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0,2331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4-hydroxy-2,5-dimethylfuran-2(3H)-one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3658-77-3</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222-908-8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0,0119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(ATE=500 mg/kg di peso corporeo)</w:t>
              <w:br/>
              <w:t>Skin Corr. 1B, H314</w:t>
              <w:br/>
              <w:t>Eye Dam. 1, H318</w:t>
              <w:br/>
              <w:t>Skin Sens. 1A, H317</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Lavare la pelle con acqua abbondante. Togliere gli indumenti contaminati. In caso di irritazione o eruzione della pelle: consultare un medico.</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Può provocare una reazione allergica cutanea.</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Ventilare la zona del riversamento. Evitare il contatto con gli occhi e con la pelle. Evitare di respirare la polvere/i fumi/i gas/la nebbia/i vapori/gli aerosol.</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Evitare il contatto con gli occhi e con la pelle. Evitare di respirare la polvere/i fumi/i gas/la nebbia/i vapori/gli aerosol.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Gli indumenti da lavoro contaminati non devono essere portati fuori dal luogo di lavoro. Lavare gli indumenti contaminati prima di indossarli nuovamente. 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0B61D5" w:rsidRPr="0069446B" w:rsidP="000B61D5" w14:paraId="135F4718" w14:textId="7F15A692">
      <w:pPr>
        <w:pStyle w:val="SDSTextHeading3"/>
        <w:rPr>
          <w:noProof w:val="0"/>
          <w:color w:val="auto"/>
          <w:lang w:val="en-US"/>
        </w:rPr>
      </w:pPr>
      <w:r w:rsidRPr="0069446B" w:rsidR="00FA7F7F">
        <w:rPr>
          <w:noProof/>
          <w:color w:val="auto"/>
          <w:lang w:val="en-US"/>
        </w:rPr>
        <w:t>Dispositivi di protezione individuale</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75EA5" w:rsidRPr="0069446B" w:rsidP="00EE2C69" w14:paraId="458E3CBC" w14:textId="203CE388">
            <w:pPr>
              <w:pStyle w:val="SDSTableTextBold"/>
              <w:rPr>
                <w:noProof w:val="0"/>
              </w:rPr>
            </w:pPr>
            <w:r w:rsidRPr="0069446B" w:rsidR="00FA7F7F">
              <w:rPr>
                <w:noProof/>
              </w:rPr>
              <w:t>Dispositivi di protezione individuale</w:t>
            </w:r>
            <w:r w:rsidRPr="0069446B">
              <w:rPr>
                <w:noProof w:val="0"/>
              </w:rPr>
              <w:t>:</w:t>
            </w:r>
          </w:p>
        </w:tc>
      </w:tr>
      <w:tr w14:paraId="41B78A23"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75EA5" w:rsidRPr="0069446B" w:rsidP="00EE2C69" w14:paraId="73CAAF64" w14:textId="7DFE9CF5">
            <w:pPr>
              <w:pStyle w:val="SDSTableTextNormal"/>
              <w:rPr>
                <w:noProof w:val="0"/>
              </w:rPr>
            </w:pPr>
            <w:r w:rsidRPr="0069446B" w:rsidR="00FA7F7F">
              <w:rPr>
                <w:noProof/>
              </w:rPr>
              <w:t>Indossare i dispositivi di protezione individuale raccomandati.</w:t>
            </w:r>
          </w:p>
        </w:tc>
      </w:tr>
      <w:tr w14:paraId="0A0EDAF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B33929" w:rsidRPr="0069446B" w:rsidP="00180784" w14:paraId="3586A904" w14:textId="50AF3D90">
            <w:pPr>
              <w:pStyle w:val="SDSTableTextBold"/>
              <w:rPr>
                <w:noProof w:val="0"/>
              </w:rPr>
            </w:pPr>
            <w:r w:rsidRPr="0069446B">
              <w:rPr>
                <w:noProof/>
              </w:rPr>
              <w:t>Simbolo(i) Dispositivi di Protezione Individuale</w:t>
            </w:r>
            <w:r w:rsidRPr="0069446B">
              <w:rPr>
                <w:noProof w:val="0"/>
              </w:rPr>
              <w:t>:</w:t>
            </w:r>
          </w:p>
        </w:tc>
      </w:tr>
      <w:tr w14:paraId="4480F935"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B33929" w:rsidRPr="0069446B" w:rsidP="00EE2C69" w14:paraId="727D1AFB" w14:textId="17245F8A">
            <w:pPr>
              <w:pStyle w:val="SDSTableTextNormal"/>
              <w:rPr>
                <w:b/>
                <w:bCs/>
                <w:noProof w:val="0"/>
              </w:rPr>
            </w:pPr>
            <w:r w:rsidRPr="0069446B" w:rsidR="00FA7F7F">
              <w:drawing>
                <wp:inline>
                  <wp:extent cx="635000" cy="635000"/>
                  <wp:docPr id="100001" name="" descr="Guanti di protez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r w:rsidRPr="0069446B" w:rsidR="00FA7F7F">
              <w:t xml:space="preserve"> </w:t>
            </w:r>
            <w:r w:rsidRPr="0069446B" w:rsidR="00FA7F7F">
              <w:drawing>
                <wp:inline>
                  <wp:extent cx="635000" cy="635000"/>
                  <wp:docPr id="100003" name="" descr="Occhiali di sicurez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r w:rsidRPr="0069446B" w:rsidR="00FA7F7F">
              <w:t xml:space="preserve"> </w:t>
            </w:r>
            <w:r w:rsidRPr="0069446B" w:rsidR="00FA7F7F">
              <w:drawing>
                <wp:inline>
                  <wp:extent cx="635000" cy="635000"/>
                  <wp:docPr id="100005" name="" descr="Usare indumenti protettivi ada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8"/>
                          <a:stretch>
                            <a:fillRect/>
                          </a:stretch>
                        </pic:blipFill>
                        <pic:spPr>
                          <a:xfrm>
                            <a:off x="0" y="0"/>
                            <a:ext cx="635000" cy="635000"/>
                          </a:xfrm>
                          <a:prstGeom prst="rect">
                            <a:avLst/>
                          </a:prstGeom>
                        </pic:spPr>
                      </pic:pic>
                    </a:graphicData>
                  </a:graphic>
                </wp:inline>
              </w:drawing>
            </w:r>
          </w:p>
        </w:tc>
      </w:tr>
    </w:tbl>
    <w:p w:rsidR="00404CA3" w:rsidRPr="0069446B" w:rsidP="00404CA3" w14:paraId="2DDF0669" w14:textId="5BEEABAD">
      <w:pPr>
        <w:pStyle w:val="SDSTextHeading4"/>
        <w:rPr>
          <w:noProof w:val="0"/>
          <w:color w:val="auto"/>
          <w:lang w:val="en-US"/>
        </w:rPr>
      </w:pPr>
      <w:r w:rsidRPr="0069446B">
        <w:rPr>
          <w:noProof/>
          <w:color w:val="auto"/>
          <w:lang w:val="en-US"/>
        </w:rPr>
        <w:t>Protezione degli occhi e del volto</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F1150B5" w14:textId="5A690E58">
            <w:pPr>
              <w:pStyle w:val="SDSTableTextBold"/>
              <w:rPr>
                <w:noProof w:val="0"/>
              </w:rPr>
            </w:pPr>
            <w:r w:rsidRPr="0069446B" w:rsidR="00FA7F7F">
              <w:rPr>
                <w:noProof/>
              </w:rPr>
              <w:t>Protezione degli occhi</w:t>
            </w:r>
            <w:r w:rsidRPr="0069446B">
              <w:rPr>
                <w:noProof w:val="0"/>
              </w:rPr>
              <w:t>:</w:t>
            </w:r>
          </w:p>
        </w:tc>
      </w:tr>
      <w:tr w14:paraId="756D408D"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2DFA4672" w14:textId="75F59F28">
            <w:pPr>
              <w:pStyle w:val="SDSTableTextNormal"/>
              <w:rPr>
                <w:noProof w:val="0"/>
              </w:rPr>
            </w:pPr>
            <w:r w:rsidRPr="0069446B" w:rsidR="00FA7F7F">
              <w:rPr>
                <w:noProof/>
              </w:rPr>
              <w:t>Occhiali di sicurezza</w:t>
            </w:r>
          </w:p>
        </w:tc>
      </w:tr>
    </w:tbl>
    <w:p w:rsidR="00404CA3" w:rsidRPr="0069446B" w:rsidP="00404CA3" w14:paraId="4ED65255" w14:textId="18D8DC8C">
      <w:pPr>
        <w:pStyle w:val="SDSTextHeading4"/>
        <w:rPr>
          <w:noProof w:val="0"/>
          <w:color w:val="auto"/>
          <w:lang w:val="en-US"/>
        </w:rPr>
      </w:pPr>
      <w:r w:rsidRPr="0069446B" w:rsidR="00FA7F7F">
        <w:rPr>
          <w:noProof/>
          <w:color w:val="auto"/>
          <w:lang w:val="en-US"/>
        </w:rPr>
        <w:t>Protezione della pelle</w:t>
      </w:r>
    </w:p>
    <w:tbl>
      <w:tblPr>
        <w:tblStyle w:val="SDSTableWithoutBorders"/>
        <w:tblW w:w="10489" w:type="dxa"/>
        <w:tblLayout w:type="fixed"/>
        <w:tblLook w:val="04A0"/>
      </w:tblPr>
      <w:tblGrid>
        <w:gridCol w:w="10489"/>
      </w:tblGrid>
      <w:tr w14:paraId="0F284331"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5F7D162" w14:textId="29288D37">
            <w:pPr>
              <w:pStyle w:val="SDSTableTextBold"/>
              <w:rPr>
                <w:noProof w:val="0"/>
              </w:rPr>
            </w:pPr>
            <w:r w:rsidRPr="0069446B">
              <w:rPr>
                <w:noProof/>
              </w:rPr>
              <w:t>Protezione della pelle e del corpo</w:t>
            </w:r>
            <w:r w:rsidRPr="0069446B">
              <w:rPr>
                <w:noProof w:val="0"/>
              </w:rPr>
              <w:t>:</w:t>
            </w:r>
          </w:p>
        </w:tc>
      </w:tr>
      <w:tr w14:paraId="0B370B63"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16A6772F" w14:textId="299021F3">
            <w:pPr>
              <w:pStyle w:val="SDSTableTextNormal"/>
              <w:rPr>
                <w:noProof w:val="0"/>
              </w:rPr>
            </w:pPr>
            <w:r w:rsidRPr="0069446B" w:rsidR="00FA7F7F">
              <w:rPr>
                <w:noProof/>
              </w:rPr>
              <w:t>Usare indumenti protettivi adatti</w:t>
            </w:r>
          </w:p>
        </w:tc>
      </w:tr>
    </w:tbl>
    <w:p w:rsidR="00F357F4" w:rsidRPr="0069446B" w:rsidP="00F357F4" w14:paraId="402C32D5" w14:textId="5D771885">
      <w:pPr>
        <w:pStyle w:val="SDSTextNormal"/>
      </w:pP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F357F4" w:rsidRPr="0069446B" w:rsidP="006442B2" w14:paraId="7AA6EE3E" w14:textId="784D04C8">
            <w:pPr>
              <w:pStyle w:val="SDSTableTextBold"/>
              <w:rPr>
                <w:noProof w:val="0"/>
              </w:rPr>
            </w:pPr>
            <w:r w:rsidRPr="0069446B" w:rsidR="00FA7F7F">
              <w:rPr>
                <w:noProof/>
              </w:rPr>
              <w:t>Protezione delle mani</w:t>
            </w:r>
            <w:r w:rsidRPr="0069446B">
              <w:rPr>
                <w:noProof w:val="0"/>
              </w:rPr>
              <w:t>:</w:t>
            </w:r>
          </w:p>
        </w:tc>
      </w:tr>
      <w:tr w14:paraId="469E7501" w14:textId="77777777" w:rsidTr="007343CC">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F357F4" w:rsidRPr="0069446B" w:rsidP="00EE2C69" w14:paraId="5AB75756" w14:textId="0BA44690">
            <w:pPr>
              <w:pStyle w:val="SDSTableTextNormal"/>
              <w:rPr>
                <w:noProof w:val="0"/>
              </w:rPr>
            </w:pPr>
            <w:r w:rsidRPr="0069446B" w:rsidR="00FA7F7F">
              <w:rPr>
                <w:noProof/>
              </w:rPr>
              <w:t>Guanti di protezione</w:t>
            </w:r>
          </w:p>
        </w:tc>
      </w:tr>
    </w:tbl>
    <w:p w:rsidR="00404CA3" w:rsidRPr="0069446B" w:rsidP="00404CA3" w14:paraId="410C6189" w14:textId="4546F574">
      <w:pPr>
        <w:pStyle w:val="SDSTextHeading4"/>
        <w:rPr>
          <w:noProof w:val="0"/>
          <w:color w:val="auto"/>
          <w:lang w:val="en-US"/>
        </w:rPr>
      </w:pPr>
      <w:r w:rsidRPr="0069446B" w:rsidR="00FA7F7F">
        <w:rPr>
          <w:noProof/>
          <w:color w:val="auto"/>
          <w:lang w:val="en-US"/>
        </w:rPr>
        <w:t>Protezione respiratoria</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Protezione respiratoria</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Pr>
                <w:noProof/>
              </w:rPr>
              <w:t>In caso di ventilazione insufficiente, usare un apparecchio respiratorio adatto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latte. Vaniglia. Alimentare.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anisaldehyde (123-11-5)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3210 mg/kg di peso corporeo Animal: rat, Guideline: OECD Guideline 401 (Acute Oral Toxicity), 95% CL: 2755 - 3600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di peso corporeo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alcohol (100-51-6)</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1580 mg/kg di peso corporeo Animal: mouse, Guideline: OECD Guideline 401 (Acute Oral Toxicity), 95% CL: 1410 - 1770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di peso corporeo Animal: rabbit, Guideline: EPA OTS 798.1100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CL50 Inalazione -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4,178 mg/l air Animal: rat, Guideline: OECD Guideline 403 (Acute Inhalation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Può provocare una reazione allergica cutanea.</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anisaldehyde (123-11-5)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 mg/kg di peso corporeo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benzyl alcohol (100-51-6)</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400 mg/kg di peso corporeo Animal: rat,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confiture de lait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benzyl alcohol (100-51-6)</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Il prodotto non è considerato pericoloso per gli organismi acquatici e non causa effetti indesiderati a lungo termine sull’ambiente.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classificato (Basandosi sui dati disponibili i criteri di classificazione non sono soddisfatti)</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anisaldehyde (123-11-5)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148,32 mg/l Test organisms (species): Leuciscus idus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82,8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68,4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1,53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0,71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alcohol (100-51-6)</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460 mg/l Test organisms (species): Pimephales promelas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230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76,828 mg/l Test organisms (species): other:</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48,897 mg/l Test organisms (species): other: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confiture de lait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dihydro-5-octylfuran-2(3H)-one (2305-05-7)</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anisaldehyde (123-11-5)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alcohol (100-51-6)</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4-hydroxy-2,5-dimethylfuran-2(3H)-one (3658-77-3)</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anisaldehyde ; benzyl alcohol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anisaldehyde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Classe di pericolo 4.1</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(per via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Tossicità acuta (per via orale), categoria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per la riproduzione, categoria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Corr.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1, sottocategoria 1B</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1A</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ingerito.</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gravi ustioni cutanee e gravi lesioni oculari.</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gravi lesioni oculari.</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Sospettato di nuocere alla fertilità o al feto.</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Classificazione e procedure usate per determinare la classificazione delle miscele ai sensi del regolamento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Metodo di calcolo</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19/06/2026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19/06/2026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confiture de lait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confiture de lait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19/06/2026   Versione: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8" Type="http://schemas.openxmlformats.org/officeDocument/2006/relationships/image" Target="media/image3.png"/><Relationship Id="rId18" Type="http://schemas.openxmlformats.org/officeDocument/2006/relationships/customXml" Target="../customXml/item3.xml"/><Relationship Id="rId3" Type="http://schemas.openxmlformats.org/officeDocument/2006/relationships/fontTable" Target="fontTable.xml"/><Relationship Id="rId12" Type="http://schemas.openxmlformats.org/officeDocument/2006/relationships/footer" Target="footer2.xml"/><Relationship Id="rId7" Type="http://schemas.openxmlformats.org/officeDocument/2006/relationships/image" Target="media/image2.png"/><Relationship Id="rId17" Type="http://schemas.openxmlformats.org/officeDocument/2006/relationships/customXml" Target="../customXml/item2.xml"/><Relationship Id="rId16" Type="http://schemas.openxmlformats.org/officeDocument/2006/relationships/styles" Target="styles.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footer" Target="footer1.xml"/><Relationship Id="rId6" Type="http://schemas.openxmlformats.org/officeDocument/2006/relationships/image" Target="media/image1.png"/><Relationship Id="rId15" Type="http://schemas.openxmlformats.org/officeDocument/2006/relationships/theme" Target="theme/theme1.xml"/><Relationship Id="rId5" Type="http://schemas.openxmlformats.org/officeDocument/2006/relationships/hyperlink" Target="mailto: office@labsys.fr" TargetMode="External"/><Relationship Id="rId10" Type="http://schemas.openxmlformats.org/officeDocument/2006/relationships/header" Target="header2.xml"/><Relationship Id="rId19" Type="http://schemas.openxmlformats.org/officeDocument/2006/relationships/customXml" Target="../customXml/item4.xml"/><Relationship Id="rId14" Type="http://schemas.openxmlformats.org/officeDocument/2006/relationships/footer" Target="footer3.xml"/><Relationship Id="rId4" Type="http://schemas.openxmlformats.org/officeDocument/2006/relationships/customXml" Target="../customXml/item1.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80F31CB9-5170-48D9-A0EA-E35D37F21D6F}"/>
</file>

<file path=customXml/itemProps3.xml><?xml version="1.0" encoding="utf-8"?>
<ds:datastoreItem xmlns:ds="http://schemas.openxmlformats.org/officeDocument/2006/customXml" ds:itemID="{2AB62378-3046-4B34-A3E5-78D93E497867}"/>
</file>

<file path=customXml/itemProps4.xml><?xml version="1.0" encoding="utf-8"?>
<ds:datastoreItem xmlns:ds="http://schemas.openxmlformats.org/officeDocument/2006/customXml" ds:itemID="{B4D78273-104D-48E4-B4AB-CCC3E206DF1A}"/>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