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coco solaire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isopentyl salicylate, TETRAHYDROLINALOOL.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tetrahydro-2-isobutyl-4-methyl-pyran-4-ol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63500-71-0</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405-040-6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1,0892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isocamphenyl cyclohexanol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105-95-3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0,7392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0,5831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2050-08-0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218-080-2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0,1358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Anche se non sono stati definiti rischi specifici, gli addetti al primo soccorso devono indossare una protezione per gli occhi, guanti e semimaschera monouso. Se c'è il rischio di esposizione ripetuta o prolungata, è opportuno considerare una protezione aggiuntiva.</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Orientale. balsamico. Fruttato.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tetrahydro-2-isobutyl-4-methyl-pyran-4-ol (63500-71-0)</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Guideline: EU Method B.1 (Acute Toxicity (Oral)),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isocamphenyl cyclohexanol (105-95-3)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di peso corporeo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di peso corporeo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pentyl salicylate (2050-08-0)</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 2000 mg/kg di peso corporeo Animal: rat, Animal sex: male, Guideline: OECD Guideline 401 (Acute Oral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pentyl salicylate (2050-08-0)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540 mg/kg di peso corporeo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180 mg/kg di peso corporeo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tetrahydro-2-isobutyl-4-methyl-pyran-4-ol (63500-71-0)</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125 mg/kg di peso corporeo Animal: rat, Guideline: OECD Guideline 407 (Repeated Dose 28-Day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1000 mg/kg di peso corporeo Animal: rat, Guideline: OECD Guideline 411 (Subchronic Dermal Toxicity: 90-Day Study), Guideline: EU Method B.28 (Sub-Chronic Dermal Toxicity Test: 90-Day Repeated Dermal Dose Study Using Rodent Species)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isocamphenyl cyclohexanol (105-95-3)</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coco solaire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tetrahydro-2-isobutyl-4-methyl-pyran-4-ol (63500-71-0)</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 320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100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isocamphenyl cyclohexanol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pentyl salicylate (2050-08-0)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1,34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0,88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coco solaire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tetrahydro-2-isobutyl-4-methyl-pyran-4-ol (63500-71-0)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isocamphenyl cyclohexanol (105-95-3)</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pentyl salicylate (2050-08-0)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tetrahydro-2-isobutyl-4-methyl-pyran-4-ol ; 3,7-dimethyloctan-3-ol ; pentyl salicylate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isocamphenyl cyclohexanol ; pentyl salicylate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isopentyl salicylate, TETRAHYDROLINALOOL.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23/03/2026 (Data di revisione)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23/03/2026 (Data di revisione)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coco solaire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coco solaire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revisione: 23/03/2026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6844F7D-25D6-47D7-BCD7-3FD8F3431E70}"/>
</file>

<file path=customXml/itemProps3.xml><?xml version="1.0" encoding="utf-8"?>
<ds:datastoreItem xmlns:ds="http://schemas.openxmlformats.org/officeDocument/2006/customXml" ds:itemID="{D4E0FECE-9094-4998-9D66-16905B3E04F3}"/>
</file>

<file path=customXml/itemProps4.xml><?xml version="1.0" encoding="utf-8"?>
<ds:datastoreItem xmlns:ds="http://schemas.openxmlformats.org/officeDocument/2006/customXml" ds:itemID="{8CA57F0A-800E-4CA5-ABCA-CB794FBDDCFA}"/>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