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clafoutis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Può provocare una reazione allergica cutanea. 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Pittogrammi di pericoli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cinnamaldehyde; 1-(1,2,3,4,5,6,7,8-octahydro-2,3,8,8-tetramethyl-2-naphthyl)ethan-1-one; coumarin; isoeugenol; (E)-1-(2,6,6-trimethyl-1,3-cyclohexadien-1-yl)-2-buten-1-one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b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0,4137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0,2667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100-52-7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202-860-4</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605-012-00-5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0,1589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Acute Tox. 4 (per inalazione), H332 (ATE=3 mg/l/4h)</w:t>
              <w:br/>
              <w:t>Skin Irrit. 2, H315</w:t>
              <w:br/>
              <w:t>Eye Irrit. 2, H319</w:t>
              <w:br/>
              <w:t>Repr. 2, H361</w:t>
              <w:br/>
              <w:t>STOT SE 3, H335</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23726-93-4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245-844-2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inalazione), H332 (ATE=1,5 mg/l/4h)</w:t>
              <w:br/>
              <w:t>Skin Irrit. 2, H315</w:t>
              <w:br/>
              <w:t>Skin Sens. 1A, H317</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0,01274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cutanea), H312 (ATE=1260 mg/kg di peso corporeo)</w:t>
              <w:br/>
              <w:t>Skin Irrit. 2, H315</w:t>
              <w:br/>
              <w:t>Eye Irrit. 2, H319</w:t>
              <w:br/>
              <w:t>Skin Sens. 1A,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0,00315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Acute Tox. 4 (per via cutanea), H312 (ATE=1100 mg/kg di peso corporeo)</w:t>
              <w:br/>
              <w:t>Acute Tox. 4 (per inalazione),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Orientale. balsamico. Fruttato. Piccante. Legnoso.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benzaldehyde (100-52-7)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 1430 mg/kg di peso corporeo Animal: rat, Animal sex: male, Guideline: OECD Guideline 401 (Acute Oral Toxicity), 95% CL: 1,33 - 1,54</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di peso corporeo Animal: rabbit</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1 – 5 mg/l air Animal: rat, Guideline: OECD Guideline 436 (Acute Inhalation Toxicity: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di peso corporeo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di peso corporeo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di peso corporeo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Inalazione - Ratto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di peso corporeo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di peso corporeo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(E)-1-(2,6,6-trimethyl-1,3-cyclohexadien-1-yl)-2-buten-1-one (23726-93-4)</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Guideline: EU Method B.1 (Acute Toxicity (Oral))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di peso corporeo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benzaldehyde (100-52-7)</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Tossicità specifica per organi bersaglio (STOT) — esposizione singola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Può irritare le vie respiratorie.</w:t>
            </w:r>
            <w:r w:rsidRPr="0069446B">
              <w:rPr>
                <w:noProof w:val="0"/>
                <w:lang w:val="fr-BE"/>
              </w:rPr>
              <w:t xml:space="preserve"> </w:t>
            </w:r>
          </w:p>
        </w:tc>
      </w:tr>
    </w:tbl>
    <w:p w:rsidR="00827634" w:rsidRPr="0069446B" w:rsidP="002B741C" w14:textId="6BB7031E">
      <w:pPr>
        <w:pStyle w:val="SDSTextBlankLine"/>
      </w:pPr>
    </w:p>
    <w:tbl>
      <w:tblPr>
        <w:tblStyle w:val="SDSTableWithBordersWithHeaderRow"/>
        <w:tblW w:w="10489" w:type="dxa"/>
        <w:tblLayout w:type="fixed"/>
        <w:tblLook w:val="04A0"/>
      </w:tblPr>
      <w:tblGrid>
        <w:gridCol w:w="3969"/>
        <w:gridCol w:w="6520"/>
      </w:tblGrid>
      <w:tr w14:paraId="22761E3C"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D4097E9">
            <w:pPr>
              <w:pStyle w:val="SDSTableTextHeading1"/>
              <w:rPr>
                <w:noProof w:val="0"/>
                <w:color w:val="auto"/>
              </w:rPr>
            </w:pPr>
            <w:r w:rsidRPr="0069446B" w:rsidR="00FA7F7F">
              <w:rPr>
                <w:noProof/>
                <w:color w:val="auto"/>
              </w:rPr>
              <w:t>isoeugenol (97-54-1)</w:t>
            </w:r>
          </w:p>
        </w:tc>
      </w:tr>
      <w:tr w14:paraId="19C91D8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18B01BD1">
            <w:pPr>
              <w:pStyle w:val="SDSTableTextNormal"/>
              <w:rPr>
                <w:noProof w:val="0"/>
              </w:rPr>
            </w:pPr>
            <w:r w:rsidRPr="0069446B">
              <w:rPr>
                <w:noProof/>
              </w:rPr>
              <w:t>Tossicità specifica per organi bersaglio (STOT) — esposizione singola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581E3344">
            <w:pPr>
              <w:pStyle w:val="SDSTableTextNormal"/>
              <w:rPr>
                <w:noProof w:val="0"/>
                <w:lang w:val="fr-BE"/>
              </w:rPr>
            </w:pPr>
            <w:r w:rsidRPr="0069446B" w:rsidR="00FA7F7F">
              <w:rPr>
                <w:noProof/>
                <w:lang w:val="fr-BE"/>
              </w:rPr>
              <w:t>Può irritare le vie respiratorie.</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cinnamaldehyde (104-55-2)</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(E)-1-(2,6,6-trimethyl-1,3-cyclohexadien-1-yl)-2-buten-1-one (23726-93-4)</w:t>
            </w:r>
          </w:p>
        </w:tc>
      </w:tr>
      <w:tr w14:paraId="17BB36C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5D6E007" w14:textId="362312DE">
            <w:pPr>
              <w:pStyle w:val="SDSTableTextNormal"/>
              <w:rPr>
                <w:noProof w:val="0"/>
              </w:rPr>
            </w:pPr>
            <w:r w:rsidRPr="0069446B" w:rsidR="00FA7F7F">
              <w:rPr>
                <w:noProof/>
              </w:rPr>
              <w:t>LOAEL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F5D4209" w14:textId="4442B51B">
            <w:pPr>
              <w:pStyle w:val="SDSTableTextNormal"/>
              <w:rPr>
                <w:noProof w:val="0"/>
                <w:lang w:val="fr-BE"/>
              </w:rPr>
            </w:pPr>
            <w:r w:rsidRPr="0069446B">
              <w:rPr>
                <w:noProof/>
                <w:lang w:val="fr-BE"/>
              </w:rPr>
              <w:t>500 mg/kg di peso corporeo Animal: rat, Guideline: OECD Guideline 408 (Repeated Dose 90-Day Oral Toxicity Study in Rodents)</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di peso corporeo Animal: rat, Animal sex: male,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clafoutis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benzaldehyde (100-52-7)</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19,7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33,1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8,05 mg/l Test organisms (species): Raphidocelis subcapitata (previous names: Pseudokirchneriella subcapitata, Selenastrum capricornutum)</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0,12 mg/l Test organisms (species): Pimephales promelas Duration: '7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2,35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(E)-1-(2,6,6-trimethyl-1,3-cyclohexadien-1-yl)-2-buten-1-one (23726-93-4)</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 mg/l Test organisms (species): Daphnia sp.</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8,3 mg/l Test organisms (species): other:</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clafoutis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benzaldehyde (100-52-7)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(E)-1-(2,6,6-trimethyl-1,3-cyclohexadien-1-yl)-2-buten-1-one (23726-93-4)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p w:rsidR="00A65092" w:rsidRPr="0069446B" w:rsidP="00A65092" w14:paraId="1965DBDA" w14:textId="0FFE3A91">
      <w:pPr>
        <w:pStyle w:val="SDSTextNormal"/>
      </w:pPr>
      <w:r>
        <w:rPr>
          <w:noProof/>
        </w:rPr>
        <w:t>Non contiene alcuna sostanza elencata nell’allegato XVII del REACH (condizioni di restrizione)</w:t>
      </w:r>
    </w:p>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inalazione),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cutanea),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specifica per organi bersaglio – esposizione singola, categoria 3 – Irritazione delle vie respiratorie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inalato.</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irritare le vie respiratorie.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24/08/2026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24/08/2026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clafoutis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clafoutis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24/08/2026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6AE44D7-39EC-48E6-ACC0-F9EAE14A5D14}"/>
</file>

<file path=customXml/itemProps3.xml><?xml version="1.0" encoding="utf-8"?>
<ds:datastoreItem xmlns:ds="http://schemas.openxmlformats.org/officeDocument/2006/customXml" ds:itemID="{CFEF8DAE-3273-4F39-A078-B24C27358849}"/>
</file>

<file path=customXml/itemProps4.xml><?xml version="1.0" encoding="utf-8"?>
<ds:datastoreItem xmlns:ds="http://schemas.openxmlformats.org/officeDocument/2006/customXml" ds:itemID="{DF4E8C61-08D5-49E5-B468-57757CDB006F}"/>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