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clafoutis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cinnamaldehyde; 1-(1,2,3,4,5,6,7,8-octahydro-2,3,8,8-tetramethyl-2-naphthyl)ethan-1-one; coumarin; isoeugenol; (E)-1-(2,6,6-trimethyl-1,3-cyclohexadien-1-yl)-2-buten-1-one; 3-(4-isobutyl-2-methylphenyl)propanal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100-52-7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202-860-4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inalazione), H332 (ATE=3 mg/l/4h)</w:t>
              <w:br/>
              <w:t>Skin Irrit. 2, H315</w:t>
              <w:br/>
              <w:t>Eye Irrit. 2, H319</w:t>
              <w:br/>
              <w:t>Repr. 2, H361</w:t>
              <w:br/>
              <w:t>STOT SE 3, H335</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3-(4-isobutyl-2-methylphenyl)propanal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1637294-12-2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811-285-3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inalazione), H332 (ATE=1,5 mg/l/4h)</w:t>
              <w:br/>
              <w:t>Skin Irrit. 2, H315</w:t>
              <w:br/>
              <w:t>Skin Sens. 1,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inalazione), H332 (ATE=1,5 mg/l/4h)</w:t>
              <w:br/>
              <w:t>Skin Irrit. 2, H315</w:t>
              <w:br/>
              <w:t>Skin Sens. 1A, H317</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via cutanea), H312 (ATE=1100 mg/kg di peso corporeo)</w:t>
              <w:br/>
              <w:t>Acute Tox. 4 (per inalazione),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Orientale. balsamico. Fruttato. Piccante. Legnoso.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benzaldehyde (100-52-7)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 1430 mg/kg di peso corporeo Animal: rat, Animal sex: male, Guideline: OECD Guideline 401 (Acute Oral Toxicity), 95% CL: 1,33 - 1,54</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di peso corporeo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(E)-1-(2,6,6-trimethyl-1,3-cyclohexadien-1-yl)-2-buten-1-one (23726-93-4)</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Guideline: EU Method B.1 (Acute Toxicity (Oral))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3-(4-isobutyl-2-methylphenyl)propanal (1637294-12-2)</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420 (Acute Oral Toxicity - Fixed Dose Method), Guideline: EPA OPPTS 870.1100 (Acute Oral Toxicity)</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 Guideline: EU Method B.3 (Acute Toxicity (Dermal))</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1 – 5 mg/l air Animal: rat, Guideline: OECD Guideline 403 (Acute Inhalation Toxicity), Guideline: EU Method B.2 (Acute Toxicity (Inhalation)), Guideline: EPA OPPTS 870.1300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C"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isoeugenol (97-54-1)</w:t>
            </w:r>
          </w:p>
        </w:tc>
      </w:tr>
      <w:tr w14:paraId="19C91D8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(E)-1-(2,6,6-trimethyl-1,3-cyclohexadien-1-yl)-2-buten-1-one (23726-93-4)</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500 mg/kg di peso corporeo Animal: rat, Guideline: OECD Guideline 408 (Repeated Dose 90-Day Oral Toxicity Study in Rodents)</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di peso corporeo Animal: rat, Animal sex: male,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3-(4-isobutyl-2-methylphenyl)propanal (1637294-12-2)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di peso corporeo Animal: rat, Guideline: OECD Guideline 407 (Repeated Dose 28-Day Oral Toxicity Study in Rodents),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clafoutis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benzaldehyde (100-52-7)</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0,12 mg/l Test organisms (species): Pimephales promelas Duration: '7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(E)-1-(2,6,6-trimethyl-1,3-cyclohexadien-1-yl)-2-buten-1-one (23726-93-4)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sp.</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8,3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3-(4-isobutyl-2-methylphenyl)propanal (1637294-12-2)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1,55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0,719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clafoutis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benzaldehyde (100-52-7)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3-(4-isobutyl-2-methylphenyl)propanal (1637294-12-2)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p w:rsidR="00A65092" w:rsidRPr="0069446B" w:rsidP="00A65092" w14:paraId="1965DBDA" w14:textId="0FFE3A91">
      <w:pPr>
        <w:pStyle w:val="SDSTextNormal"/>
      </w:pPr>
      <w:r>
        <w:rPr>
          <w:noProof/>
        </w:rPr>
        <w:t>Non contiene alcuna sostanza elencata nell’allegato XVII del REACH (condizioni di restrizione)</w:t>
      </w:r>
    </w:p>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Irritazione delle vie respiratorie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24/08/2026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24/08/2026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clafoutis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clafoutis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24/08/2026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854EB6A-889F-48EF-9764-00BDB65A45D7}"/>
</file>

<file path=customXml/itemProps3.xml><?xml version="1.0" encoding="utf-8"?>
<ds:datastoreItem xmlns:ds="http://schemas.openxmlformats.org/officeDocument/2006/customXml" ds:itemID="{239D3F6E-2189-471A-A81A-3EF08014A295}"/>
</file>

<file path=customXml/itemProps4.xml><?xml version="1.0" encoding="utf-8"?>
<ds:datastoreItem xmlns:ds="http://schemas.openxmlformats.org/officeDocument/2006/customXml" ds:itemID="{F3911C92-BF0E-4ECA-9034-989363D78874}"/>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