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choco pistache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Può provocare una reazione allergica cutanea. 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1-(1,2,3,4,5,6,7,8-octahydro-2,3,8,8-tetramethyl-2-naphthyl)ethan-1-one; d-limonene; coumarin</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[3R-(3α,3aβ,7β,8aα)]-2,3,4,7,8,8a-hexahydro-3,6,8,8-tetramethyl-1H-3a,7-methanoazulene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0,058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[3R-(3α,3aβ,7β,8aα)]-octahydro-3,8,8-trimethyl-6-methylene-1H-3a,7-methanoazulene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546-28-1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208-898-8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Ambra. Legnoso.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di peso corporeo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di peso corporeo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choco pistache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choco pistache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[3R-(3α,3aβ,7β,8aα)]-octahydro-3,8,8-trimethyl-6-methylene-1H-3a,7-methanoazulene (546-28-1)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[3R-(3α,3aβ,7β,8aα)]-2,3,4,7,8,8a-hexahydro-3,6,8,8-tetramethyl-1H-3a,7-methanoazulene (469-61-4)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11/06/2026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11/06/2026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choco pistache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choco pistache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11/06/2026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8B2FB0E-848D-4EC1-BA0C-8790908A70E9}"/>
</file>

<file path=customXml/itemProps3.xml><?xml version="1.0" encoding="utf-8"?>
<ds:datastoreItem xmlns:ds="http://schemas.openxmlformats.org/officeDocument/2006/customXml" ds:itemID="{FD7DC600-2E39-4CCD-8637-EA636D485B8D}"/>
</file>

<file path=customXml/itemProps4.xml><?xml version="1.0" encoding="utf-8"?>
<ds:datastoreItem xmlns:ds="http://schemas.openxmlformats.org/officeDocument/2006/customXml" ds:itemID="{CA01524B-3334-4479-9E60-5E04846AE0B7}"/>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