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calanque de cassis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linalyl acetate, 3,7-dimethylnona-1,6-dien-3-ol, citral, linalool, LIMONENE, acetyl cedrene.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2,6768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Felce. Hesperidaceae. Ambra. Marino.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80 mg/kg di peso corporeo Animal: rat, Guideline: OECD Guideline 408 (Repeated Dose 90-Day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calanque de cassis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3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0,23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0,087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calanque de cassis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 ; benzyl benzoate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benzyl benzoate ; 1,3,4,6,7,8-hexahydro-4,6,6,7,8,8-hexamethylindeno[5,6-c]pyran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linalyl acetate, 3,7-dimethylnona-1,6-dien-3-ol, citral, linalool, LIMONENE, acetyl cedrene.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calanque de cassis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calanque de cassis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23/07/2026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3F06958-58F3-48CA-B022-C95814C099BC}"/>
</file>

<file path=customXml/itemProps3.xml><?xml version="1.0" encoding="utf-8"?>
<ds:datastoreItem xmlns:ds="http://schemas.openxmlformats.org/officeDocument/2006/customXml" ds:itemID="{D0590162-9CB0-4968-8343-07647784C693}"/>
</file>

<file path=customXml/itemProps4.xml><?xml version="1.0" encoding="utf-8"?>
<ds:datastoreItem xmlns:ds="http://schemas.openxmlformats.org/officeDocument/2006/customXml" ds:itemID="{F35818FC-7E57-4D36-948C-F417AF6060F9}"/>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