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bubble gum fraise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Tenere fuori dalla portata dei bambini.</w:t>
              <w:br/>
              <w:t>P101 - In caso di consultazione di un medico, tenere a disposizione il contenitore o l’etichetta del prodotto.</w:t>
              <w:br/>
              <w:t>P501 - Smaltire il prodotto/recipiente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LIMONENE, CARVONE, cinnamaldehyde.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0,6342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Acute 1, H400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Vaniglia. Menta.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bubble gum fraise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bubble gum fraise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LIMONENE, CARVONE, cinnamaldehyde.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26/06/2026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26/06/2026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bubble gum fraise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bubble gum fraise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26/06/2026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8AFBEF6-2CDB-4E52-AF3F-47E2E5244E1A}"/>
</file>

<file path=customXml/itemProps3.xml><?xml version="1.0" encoding="utf-8"?>
<ds:datastoreItem xmlns:ds="http://schemas.openxmlformats.org/officeDocument/2006/customXml" ds:itemID="{7711DA5A-EA99-4902-A583-B485A86B0191}"/>
</file>

<file path=customXml/itemProps4.xml><?xml version="1.0" encoding="utf-8"?>
<ds:datastoreItem xmlns:ds="http://schemas.openxmlformats.org/officeDocument/2006/customXml" ds:itemID="{8104B2EE-067D-4DEF-8E0B-8FFFD59B0DBB}"/>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