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bubble gum fraise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d-limonene; carvone; (E)-anethole; 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P333+P313 - In caso di irritazione o eruzione della pelle: Consultare un medico.</w:t>
              <w:br/>
              <w:t>P501 - Smaltire il prodotto/recipiente in un centro di smistamento, in conformità con la normativa locale.</w:t>
              <w:br/>
              <w:t>P302+P352 - IN CASO DI CONTATTO CON LA PELLE: lavare abbondantemente con acqua e sapone.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5989-27-5</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carvone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99-49-0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202-759-5</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606-148-00-8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allyl hexanoate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123-68-2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204-642-4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3 (per via orale), H301 (ATE=280 mg/kg di peso corporeo)</w:t>
              <w:br/>
              <w:t>Acute Tox. 3 (per via cutanea), H311 (ATE=820 mg/kg di peso corporeo)</w:t>
              <w:br/>
              <w:t>Acute Tox. 3 (per inalazione), H331 (ATE=0,5 mg/l/4h)</w:t>
              <w:br/>
              <w:t>Aquatic Acute 1, H400</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 acetate</w:t>
            </w:r>
          </w:p>
          <w:p w:rsidR="00827634" w:rsidRPr="0069446B" w:rsidP="009B0F88" w14:paraId="147D3D58" w14:textId="33B2CEBF">
            <w:pPr>
              <w:pStyle w:val="SDSTableTextNormal"/>
              <w:rPr>
                <w:noProof w:val="0"/>
              </w:rPr>
            </w:pPr>
            <w:r w:rsidRPr="0069446B">
              <w:rPr>
                <w:noProof/>
              </w:rPr>
              <w:t>sostanza con dei valori limite nazionali di esposizione professionale (IT); sostanza con un limite comunitario di esposizione sul posto di lavoro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141-78-6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205-500-4</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607-022-00-5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Eye Irrit. 2, H319</w:t>
              <w:br/>
              <w:t>STOT SE 3, H336</w:t>
              <w:br/>
              <w:t>EUH066</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(E)-anethole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4180-23-8</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224-052-0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Acute 1, H400</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diphenyl ether</w:t>
            </w:r>
          </w:p>
          <w:p w:rsidR="00827634" w:rsidRPr="0069446B" w:rsidP="009B0F88" w14:textId="33B2CEBF">
            <w:pPr>
              <w:pStyle w:val="SDSTableTextNormal"/>
              <w:rPr>
                <w:noProof w:val="0"/>
              </w:rPr>
            </w:pPr>
            <w:r w:rsidRPr="0069446B">
              <w:rPr>
                <w:noProof/>
              </w:rPr>
              <w:t>sostanza con dei valori limite nazionali di esposizione professionale (IT); sostanza con un limite comunitario di esposizione sul posto di lavoro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101-84-8</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202-981-2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 H317</w:t>
              <w:br/>
              <w:t>Aquatic Acute 1, H400</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B077C8" w:rsidRPr="0069446B" w:rsidP="00B077C8" w14:paraId="76C830A6" w14:textId="7C05BC4C">
      <w:pPr>
        <w:pStyle w:val="SDSTextHeading3"/>
        <w:rPr>
          <w:noProof w:val="0"/>
          <w:color w:val="auto"/>
          <w:lang w:val="en-US"/>
        </w:rPr>
      </w:pPr>
      <w:r w:rsidRPr="0069446B">
        <w:rPr>
          <w:noProof/>
          <w:color w:val="auto"/>
          <w:lang w:val="en-US"/>
        </w:rPr>
        <w:t>Valori limite nazionali di esposizione professionale e biologici</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ethyl acetate</w:t>
            </w:r>
            <w:r w:rsidRPr="0069446B">
              <w:rPr>
                <w:noProof w:val="0"/>
                <w:color w:val="auto"/>
              </w:rPr>
              <w:t xml:space="preserve"> </w:t>
            </w:r>
            <w:r w:rsidRPr="0069446B" w:rsidR="00FD53E4">
              <w:rPr>
                <w:noProof/>
                <w:color w:val="auto"/>
              </w:rPr>
              <w:t>(141-78-6)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UE - Valore Limite Indicativo di Esposizione Professionale (IOEL)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Nome locale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Ethyl acetate</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734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200 ppm</w:t>
            </w:r>
          </w:p>
        </w:tc>
      </w:tr>
      <w:tr w14:paraId="70951C3C"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1468 mg/m³</w:t>
            </w:r>
          </w:p>
        </w:tc>
      </w:tr>
      <w:tr w14:paraId="70951C3D"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400 ppm</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Riferimento normativo</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Italia - Valori limite di esposizione professionale</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Nome locale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Acetato di etile</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734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200 ppm</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1468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400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Riferimento normativo</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Allegato XXXVIII del D.Lgs. 9 aprile 2008, n. 81 e s.m.i. (D.Lgs. 4 settembre 2024, n. 135)</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diphenyl ether</w:t>
            </w:r>
            <w:r w:rsidRPr="0069446B">
              <w:rPr>
                <w:noProof w:val="0"/>
                <w:color w:val="auto"/>
              </w:rPr>
              <w:t xml:space="preserve"> </w:t>
            </w:r>
            <w:r w:rsidRPr="0069446B" w:rsidR="00FD53E4">
              <w:rPr>
                <w:noProof/>
                <w:color w:val="auto"/>
              </w:rPr>
              <w:t>(101-84-8)</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UE - Valore Limite Indicativo di Esposizione Professionale (IOEL)</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Nome locale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Diphenyl ether</w:t>
            </w:r>
          </w:p>
        </w:tc>
      </w:tr>
      <w:tr w14:paraId="70951C46"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7 mg/m³</w:t>
            </w:r>
          </w:p>
        </w:tc>
      </w:tr>
      <w:tr w14:paraId="70951C47"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 ppm</w:t>
            </w:r>
          </w:p>
        </w:tc>
      </w:tr>
      <w:tr w14:paraId="70951C48"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14 mg/m³</w:t>
            </w:r>
          </w:p>
        </w:tc>
      </w:tr>
      <w:tr w14:paraId="70951C49"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 ppm</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Riferimento normativo</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Italia - Valori limite di esposizione professionale</w:t>
            </w:r>
          </w:p>
        </w:tc>
      </w:tr>
      <w:tr w14:paraId="70951C4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Nome locale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Difeniletere</w:t>
            </w:r>
          </w:p>
        </w:tc>
      </w:tr>
      <w:tr w14:paraId="70951C4C"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7 mg/m³</w:t>
            </w:r>
          </w:p>
        </w:tc>
      </w:tr>
      <w:tr w14:paraId="70951C4D"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 ppm</w:t>
            </w:r>
          </w:p>
        </w:tc>
      </w:tr>
      <w:tr w14:paraId="70951C4E"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14 mg/m³</w:t>
            </w:r>
          </w:p>
        </w:tc>
      </w:tr>
      <w:tr w14:paraId="70951C4F"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 ppm</w:t>
            </w:r>
          </w:p>
        </w:tc>
      </w:tr>
      <w:tr w14:paraId="70951C5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Riferimento normativo</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Allegato XXXVIII del D.Lgs. 9 aprile 2008, n. 81 e s.m.i. (D.Lgs. 4 settembre 2024, n. 135)</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Fruttato. Vaniglia. Menta.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allyl hexanoate (123-68-2)</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280 mg/kg di peso corporeo Animal: guinea pig, Guideline: OECD Guideline 401 (Acute Oral Toxicity), 95% CL: 246 - 319</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820 mg/kg di peso corporeo Animal: rabbit, Guideline: OECD Guideline 402 (Acute Dermal Toxicity), 95% CL: 700 - 940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 acetate (141-78-6)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4934 mg/kg di peso corporeo Animal: rabbit, Guideline: OECD Guideline 401 (Acute Oral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20000 mg/kg di peso corporeo Animal: rabbit, Animal sex: male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(E)-anethole (4180-23-8)</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1420 – 3070 mg/kg di peso corporeo Animal: rat, 95% CL: 2090 -</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4900 mg/kg di peso corporeo Animal: rabbit, Guideline: EU Method B.3 (Acute Toxicity (Dermal))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 5,1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di peso corporeo Animal: rat, Guideline: other:, 95% CL: 1910 - 2600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di peso corporeo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di peso corporeo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ethyl acetate (141-78-6)</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Tossicità specifica per organi bersaglio (STOT) — esposizione singola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Può provocare sonnolenza o vertigini.</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ethyl acetate (141-78-6)</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3600 mg/kg di peso corporeo Animal: rat, Guideline: EPA OTS 795.2600 (Subchronic Oral Toxicity Test)</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900 mg/kg di peso corporeo Animal: rat, Guideline: EPA OTS 795.2600 (Subchronic Oral Toxicity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(E)-anethole (4180-23-8)</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 300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diphenyl ether (101-84-8)</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1000 mg/kg di peso corporeo Animal: rat</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bubble gum fraise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Informazioni su altri pericoli</w:t>
      </w:r>
      <w:bookmarkEnd w:id="3"/>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Crostacei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allyl hexanoate (123-68-2)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0,117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4,6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0,778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 acetate (141-78-6)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230 mg/l Test organisms (species): Pimephales promelas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2,4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(E)-anethole (4180-23-8)</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7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 4,25 mg/l Test organisms (species): Daphnia magna</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 2,44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 1,05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diphenyl ether (101-84-8)</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4,2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1,96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bubble gum fraise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d-limonene (5989-27-5)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carvone (99-49-0)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allyl hexanoate (123-68-2)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 acetate (141-78-6)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(E)-anethole (4180-23-8)</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diphenyl ether (101-84-8)</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4"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allyl hexanoate ; ethyl acetate ; (E)-anethole ; cinnamaldehyde ; pin-2(3)-ene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ethyl acetate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allyl hexanoate ; cinnamaldehyde ; pin-2(3)-ene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3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cutanea), categoria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3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cutanea), categoria 4</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3</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specifica per organi bersaglio – esposizione singola, categoria 3 – Narcosi</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facilmente infiammabili.</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infiammabili.</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se ingerito.</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contatto con la pelle.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se inalato.</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sonnolenza o vertigini.</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E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EUH066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L’esposizione ripetuta può provocare secchezza o screpolature della pelle.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26/06/2026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26/06/2026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bubble gum fraise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bubble gum fraise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26/06/2026   Versione: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0259ED2-97CC-4188-9E82-AD6A6B3A14BF}"/>
</file>

<file path=customXml/itemProps3.xml><?xml version="1.0" encoding="utf-8"?>
<ds:datastoreItem xmlns:ds="http://schemas.openxmlformats.org/officeDocument/2006/customXml" ds:itemID="{654B1621-1DEC-47F7-915E-10E49675476B}"/>
</file>

<file path=customXml/itemProps4.xml><?xml version="1.0" encoding="utf-8"?>
<ds:datastoreItem xmlns:ds="http://schemas.openxmlformats.org/officeDocument/2006/customXml" ds:itemID="{2F88A29A-D455-4068-A224-50BF7A5A04B7}"/>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