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bredele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d-limonene; butanedione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(per via orale), H302 (ATE=500 mg/kg di peso corporeo)</w:t>
              <w:br/>
              <w:t>Acute Tox. 3 (per inalazione),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Diacetile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Alimentare.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di peso corporeo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di peso corporeo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(animale/femmina,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di peso corporeo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Tossicità specifica per organi bersaglio (STOT) — esposizione ripetuta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Può provocare danni agli organi in caso di esposizione prolungata o ripetuta.</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bredele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bredele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ripetuta, categoria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inalato.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danni agli organi in caso di esposizione prolungata o ripetuta.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bredele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bredele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30/09/2026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1E29969-A33D-417F-85AE-EC8BAD2B22CE}"/>
</file>

<file path=customXml/itemProps3.xml><?xml version="1.0" encoding="utf-8"?>
<ds:datastoreItem xmlns:ds="http://schemas.openxmlformats.org/officeDocument/2006/customXml" ds:itemID="{ED4B1B49-688B-446B-B71F-1D47285F4911}"/>
</file>

<file path=customXml/itemProps4.xml><?xml version="1.0" encoding="utf-8"?>
<ds:datastoreItem xmlns:ds="http://schemas.openxmlformats.org/officeDocument/2006/customXml" ds:itemID="{FE7B1C5C-4FE9-441F-9205-F8F55710EAE9}"/>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