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bouquet solaire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citronellol, salicilato di benzile, coumarin, 1-(1,2,3,4,5,6,7,8-octahydro-2,3,8,8-tetramethyl-2-naphthyl)ethan-1-one, linalool, acetyl cedrene, LIMONENE.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bouquet solaire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geraniolo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bouquet solaire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geraniolo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geraniolo ; 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citronellol, salicilato di benzile, coumarin, 1-(1,2,3,4,5,6,7,8-octahydro-2,3,8,8-tetramethyl-2-naphthyl)ethan-1-one, linalool, acetyl cedrene, LIMONENE.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bouquet solaire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bouquet solaire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22/05/2026   Versione: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67BEE1A-2158-4E87-8754-ABEF2E5CB603}"/>
</file>

<file path=customXml/itemProps3.xml><?xml version="1.0" encoding="utf-8"?>
<ds:datastoreItem xmlns:ds="http://schemas.openxmlformats.org/officeDocument/2006/customXml" ds:itemID="{FB121D87-712C-4F07-828B-6D3E58C9C18D}"/>
</file>

<file path=customXml/itemProps4.xml><?xml version="1.0" encoding="utf-8"?>
<ds:datastoreItem xmlns:ds="http://schemas.openxmlformats.org/officeDocument/2006/customXml" ds:itemID="{FA7560E9-0E6E-4A9B-AA6B-24938FFAA999}"/>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