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bois de santal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etere metilico di cedro, 1-(1,2,3,4,5,6,7,8-octahydro-2,3,8,8-tetramethyl-2-naphthyl)ethan-1-one, coumarin, cashmeran.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A55330">
              <w:rPr>
                <w:noProof/>
              </w:rPr>
              <w:t>etere metilico di cedro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19870-74-7</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0,5383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0,5383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0,3234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0,1078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Muschio. Sandalo. Ambra. Legnoso.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di peso corporeo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cashmeran (33704-61-9)</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2685 mg/kg di peso corporeo Animal: rat, Animal sex: female, Guideline: OECD Guideline 401 (Acute Oral Toxicity), 95% CL: 2043 - 3529</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di peso corporeo Animal: rat, Animal sex: male, Guideline: OECD Guideline 421 (Reproduction / Developmental Toxicity Screening Test)</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1875 mg/kg di peso corporeo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(animale/maschio,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di peso corporeo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cashmeran (33704-61-9)</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 mg/kg di peso corporeo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bois de santal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cashmeran (33704-61-9)</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1,7 mg/l Test organisms (species): Oryzias latipes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1,5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bois de santal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etere metilico di cedro (19870-74-7)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cashmeran (33704-61-9)</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etere metilico di cedro, 1-(1,2,3,4,5,6,7,8-octahydro-2,3,8,8-tetramethyl-2-naphthyl)ethan-1-one, coumarin, cashmeran.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bois de santal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bois de santal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27/07/2026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7F9443A-9A13-4808-BB15-1E8A904F32A3}"/>
</file>

<file path=customXml/itemProps3.xml><?xml version="1.0" encoding="utf-8"?>
<ds:datastoreItem xmlns:ds="http://schemas.openxmlformats.org/officeDocument/2006/customXml" ds:itemID="{2912F38D-E812-43FC-80A9-2285D61EDA7D}"/>
</file>

<file path=customXml/itemProps4.xml><?xml version="1.0" encoding="utf-8"?>
<ds:datastoreItem xmlns:ds="http://schemas.openxmlformats.org/officeDocument/2006/customXml" ds:itemID="{09FB97D5-E695-4C4C-8F52-D9705CD8012D}"/>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