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bois d'olivier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linalyl acetate; alpha-iso-methylionone; 7-hydroxycitronellal; linalool; 1-(1,2,3,4,5,6,7,8-octahydro-2,3,8,8-tetramethyl-2-naphthyl)ethan-1-one; acetyl cedrene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3,703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Raccogliere il materiale fuoriuscito.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Legnoso. Verde.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di peso corporeo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80 mg/kg di peso corporeo Animal: rat, Guideline: OECD Guideline 408 (Repeated Dose 90-Day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bois d'olivier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3 mg/l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bois d'olivier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SOLIDA,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MATERIA PERICOLOSA PER L'AMBIENTE, SOLIDA, N.A.S.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MATERIA PERICOLOSA PER L'AMBIENTE, SOLIDA,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MATERIA PERICOLOSA PER L'AMBIENTE, SOLIDA,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chio per una sostanza pericolosa per l’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chio per una sostanza pericolosa per l’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chio per una sostanza pericolosa per l’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chio per una sostanza pericolosa per l’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chio per una sostanza pericolosa per l’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Si</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Disposizioni speciali di trasporto -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Conservazione e manipolazione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Requisiti aggiuntivi/Osservazioni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Solo allo stato fuso. ** Per il trasporto alla rinfusa vedi anche 7.1.4.1. *** Solo in caso di trasporto alla rinfusa.</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Disposizioni speciali di trasporto -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7-hydroxycitronellal ; linalool ; d-limonene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bois d'olivier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bois d'olivier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07/07/2026   Versione: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E1F65B2-1775-4A04-9B05-DEA54F9BADF3}"/>
</file>

<file path=customXml/itemProps3.xml><?xml version="1.0" encoding="utf-8"?>
<ds:datastoreItem xmlns:ds="http://schemas.openxmlformats.org/officeDocument/2006/customXml" ds:itemID="{BE267E57-EA39-43D2-91CE-168E438B1311}"/>
</file>

<file path=customXml/itemProps4.xml><?xml version="1.0" encoding="utf-8"?>
<ds:datastoreItem xmlns:ds="http://schemas.openxmlformats.org/officeDocument/2006/customXml" ds:itemID="{543C80CC-7185-4EDE-8F13-605923B866A5}"/>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