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ambre vanille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CEDROL METHYL ETHER, (E)-1-(2,6,6-trimethyl-1,3-cyclohexadien-1-yl)-2-buten-1-one, TETRAMETHYL ACETYLOCTAHYDRONAPHTHALENES, COUMARIN, linalool,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ambre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ambre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etere metilico di cedro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(E)-1-(2,6,6-trimethyl-1,3-cyclohexadien-1-yl)-2-buten-1-one ; linalool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(E)-1-(2,6,6-trimethyl-1,3-cyclohexadien-1-yl)-2-buten-1-one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CEDROL METHYL ETHER, (E)-1-(2,6,6-trimethyl-1,3-cyclohexadien-1-yl)-2-buten-1-one, TETRAMETHYL ACETYLOCTAHYDRONAPHTHALENES, COUMARIN, linalool,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ambre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ambre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FC6355-6488-4824-A621-3881381084E2}"/>
</file>

<file path=customXml/itemProps3.xml><?xml version="1.0" encoding="utf-8"?>
<ds:datastoreItem xmlns:ds="http://schemas.openxmlformats.org/officeDocument/2006/customXml" ds:itemID="{B75EB283-F4B0-4919-8053-DE96036D34F0}"/>
</file>

<file path=customXml/itemProps4.xml><?xml version="1.0" encoding="utf-8"?>
<ds:datastoreItem xmlns:ds="http://schemas.openxmlformats.org/officeDocument/2006/customXml" ds:itemID="{205AA9C9-969D-4007-B391-F24CC8365449}"/>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