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fleur de citronnier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Tenere fuori dalla portata dei bambini.</w:t>
              <w:br/>
              <w:t>P273 - Non disperdere nell’ambiente.</w:t>
              <w:br/>
              <w:t>P501 - Smaltire il prodotto e recipiente in un centro di smistamento, in conformità con la normativa locale.</w:t>
              <w:br/>
              <w:t>P101 - In caso di consultazione di un medico, tenere a disposizione il contenitore o l’etichetta del prodotto.</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citral, 1-(1,2,3,4,5,6,7,8-octahydro-2,3,8,8-tetramethyl-2-naphthyl)ethan-1-one, 3,7-dimethylnona-1,6-dien-3-ol, LIMONENE, geranyl acetate.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(ATE=218 mg/kg di peso corporeo)</w:t>
              <w:br/>
              <w:t>Acute Tox. 3 (per via cutanea), H311 (ATE=810 mg/kg di peso corporeo)</w:t>
              <w:br/>
              <w:t>Aquatic Acute 1, H400 (M=10)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810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fleur de citronnier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alla fleur de citronnier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citral, 1-(1,2,3,4,5,6,7,8-octahydro-2,3,8,8-tetramethyl-2-naphthyl)ethan-1-one, 3,7-dimethylnona-1,6-dien-3-ol, LIMONENE, geranyl acetate.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alla fleur de citronnier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alla fleur de citronnier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31/03/2026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6135C1A-FE6A-41E1-8114-EAC0BC7ED127}"/>
</file>

<file path=customXml/itemProps3.xml><?xml version="1.0" encoding="utf-8"?>
<ds:datastoreItem xmlns:ds="http://schemas.openxmlformats.org/officeDocument/2006/customXml" ds:itemID="{F5F92D6D-ADDB-4825-907D-5872974ED344}"/>
</file>

<file path=customXml/itemProps4.xml><?xml version="1.0" encoding="utf-8"?>
<ds:datastoreItem xmlns:ds="http://schemas.openxmlformats.org/officeDocument/2006/customXml" ds:itemID="{3CD566F2-9513-4C9C-983F-BF3923203E6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