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romarin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Solido infiammabile. 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cineole; 1-(1,2,3,4,5,6,7,8-octahydro-2,3,8,8-tetramethyl-2-naphthyl)ethan-1-one; pin-2(3)-ene; caryophyllene;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via orale), H302 (ATE=500 mg/kg di peso corporeo)</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caryophyllene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87-44-5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201-746-1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Tenere lontano da fonti di calore, superfici calde, scintille, fiamme libere o altre fonti di accensione. Non fumare. Mettere a terra/massa il contenitore e il dispositivo ricevente.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Rurale. caratteristico. Cedro.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caryophyllene (87-44-5)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&gt; 5000 mg/kg di peso corporeo Animal: mouse, Animal sex: male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romarin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caryophyllene (87-44-5)</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0,033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 romarin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caryophyllene (87-44-5)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 ; caryophyllene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Solidi infiammabili,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Solido infiammabile.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romarin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romarin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20/04/2026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282CE67-B1C3-4CD1-83D0-0983386FBC66}"/>
</file>

<file path=customXml/itemProps3.xml><?xml version="1.0" encoding="utf-8"?>
<ds:datastoreItem xmlns:ds="http://schemas.openxmlformats.org/officeDocument/2006/customXml" ds:itemID="{0BC0C6D3-D990-44DD-9FA1-043258BBFF70}"/>
</file>

<file path=customXml/itemProps4.xml><?xml version="1.0" encoding="utf-8"?>
<ds:datastoreItem xmlns:ds="http://schemas.openxmlformats.org/officeDocument/2006/customXml" ds:itemID="{2063FBAC-69CA-42AB-B354-F53A2A4C253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