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musc blanc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alpha-iso-methylionone, salicilato di benzile, HYDROXYCITRONELLAL, citronellol, linalool,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cyclopentadecanone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502-72-7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207-951-2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Aldeide. Muschio.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cyclopentadecanone (502-72-7)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cyclopentadecanone (502-72-7)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di peso corporeo Animal: rat, Guideline: OECD Guideline 422 (Combined Repeated Dose Toxicity Study with the Reproduction / Developmental Toxicity Screening Test), Guideline: EU Method B.7 (Repeated Dose (28 Days) Toxicity (Oral)), Guideline: other:, Guideline: OECD Guideline 407 (Repeated Dose 28-Day Oral Toxicity Study in Rodents)</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422 (Combined Repeated Dose Toxicity Study with the Reproduction / Developmental Toxicity Screening Test), Guideline: EU Method B.7 (Repeated Dose (28 Days) Toxicity (Oral)), Guideline: other:,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musc blanc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cyclopentadecanone (502-72-7)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0,17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musc blanc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cyclopentadecanone (502-72-7)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salicylate ; 7-hydroxycitronellal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alpha-iso-methylionone, salicilato di benzile, HYDROXYCITRONELLAL, citronellol, linalool,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musc blanc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musc blanc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29/05/2026   Data di revisione: 18/06/2026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5A25AE3-83DD-486A-A309-F975C202430E}"/>
</file>

<file path=customXml/itemProps3.xml><?xml version="1.0" encoding="utf-8"?>
<ds:datastoreItem xmlns:ds="http://schemas.openxmlformats.org/officeDocument/2006/customXml" ds:itemID="{70BBC00D-032F-4BB8-8E59-C667E4881EE9}"/>
</file>

<file path=customXml/itemProps4.xml><?xml version="1.0" encoding="utf-8"?>
<ds:datastoreItem xmlns:ds="http://schemas.openxmlformats.org/officeDocument/2006/customXml" ds:itemID="{79552253-8466-4623-AF72-349232D0CD4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