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Pomme verte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2,4-dimetilcicloes-3-en-1-carbaldeide, isociclocitrale.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2,4-dimethylcyclohex-3-ene-1-carbaldehyde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68039-49-6</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268-264-1</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605-043-00-4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isocyclocitral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1335-66-6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215-638-7</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605-043-00-4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3, H412</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Anche se non sono stati definiti rischi specifici, gli addetti al primo soccorso devono indossare una protezione per gli occhi, guanti e semimaschera monouso. Se c'è il rischio di esposizione ripetuta o prolungata, è opportuno considerare una protezione aggiuntiva.</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Verde. Fruttato.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Pomme verte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Pomme verte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2,4-dimethylcyclohex-3-ene-1-carbaldehyde (68039-49-6)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isocyclocitral (1335-66-6)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p w:rsidR="00A65092" w:rsidRPr="0069446B" w:rsidP="00A65092" w14:paraId="1965DBDA" w14:textId="0FFE3A91">
      <w:pPr>
        <w:pStyle w:val="SDSTextNormal"/>
      </w:pPr>
      <w:r>
        <w:rPr>
          <w:noProof/>
        </w:rPr>
        <w:t>Non contiene alcuna sostanza elencata nell’allegato XVII del REACH (condizioni di restrizione)</w:t>
      </w:r>
    </w:p>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cronico, categoria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2,4-dimetilcicloes-3-en-1-carbaldeide, isociclocitrale.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21/04/2026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21/04/2026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Pomme verte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Pomme verte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21/04/2026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DD6A454-2563-4874-8E4A-2437A8431C8E}"/>
</file>

<file path=customXml/itemProps3.xml><?xml version="1.0" encoding="utf-8"?>
<ds:datastoreItem xmlns:ds="http://schemas.openxmlformats.org/officeDocument/2006/customXml" ds:itemID="{44C6ED61-00FD-4F09-9306-9F5C16DC2A38}"/>
</file>

<file path=customXml/itemProps4.xml><?xml version="1.0" encoding="utf-8"?>
<ds:datastoreItem xmlns:ds="http://schemas.openxmlformats.org/officeDocument/2006/customXml" ds:itemID="{710A6B02-2132-4527-A946-BCEC35DE9D57}"/>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