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301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geraniolo; (2E)-3,7-dimetilotta-2,6-dien-1-olo, Heptanal, 2-(phenylmethylene)-, (2E)-, linalyl acetate, HEXYL CINNAMAL, linalool.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Heptanal, 2-(phenylmethylene)-, (2E)-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78605-96-6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800-696-3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Non applicabile</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301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301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geraniol (106-24-1)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Heptanal, 2-(phenylmethylene)-, (2E)- (78605-96-6)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linalyl acetate ; 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geraniolo; (2E)-3,7-dimetilotta-2,6-dien-1-olo, Heptanal, 2-(phenylmethylene)-, (2E)-, linalyl acetate, HEXYL CINNAMAL, linalool.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301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301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22/06/2026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9020DE4-C43C-429D-A82A-41A41C0D8D09}"/>
</file>

<file path=customXml/itemProps3.xml><?xml version="1.0" encoding="utf-8"?>
<ds:datastoreItem xmlns:ds="http://schemas.openxmlformats.org/officeDocument/2006/customXml" ds:itemID="{DEC67D42-848C-47DC-9EFE-07CD756479E0}"/>
</file>

<file path=customXml/itemProps4.xml><?xml version="1.0" encoding="utf-8"?>
<ds:datastoreItem xmlns:ds="http://schemas.openxmlformats.org/officeDocument/2006/customXml" ds:itemID="{6812773F-87D9-46DE-9896-8E7353B6C4F1}"/>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