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221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geraniol; citronellol; 3-(p-methoxyphenyl)-2-methylpropionaldehyde; linalool; d-limonene; 1-(1,2,3,4,5,6,7,8-octahydro-2,3,8,8-tetramethyl-2-naphthyl)ethan-1-one;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3-(p-methoxyphenyl)-2-methylpropionaldehyde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5462-06-6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226-749-5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Fruttato.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di peso corporeo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3-(p-methoxyphenyl)-2-methylpropionaldehyde (5462-06-6)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4000 mg/kg di peso corporeo Animal: rat, Animal sex: male, Guideline: OECD Guideline 401 (Acute Oral Toxicity), 95% CL: 3400 - 4600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221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3-(p-methoxyphenyl)-2-methylpropionaldehyde (5462-06-6)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12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221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3-(p-methoxyphenyl)-2-methylpropionaldehyde (5462-06-6)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citronellol ; 3-(p-methoxyphenyl)-2-methylpropionaldehyde ; 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221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221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23/10/2026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E6575AF-D537-4923-BDFE-BC202C41D648}"/>
</file>

<file path=customXml/itemProps3.xml><?xml version="1.0" encoding="utf-8"?>
<ds:datastoreItem xmlns:ds="http://schemas.openxmlformats.org/officeDocument/2006/customXml" ds:itemID="{DDDE6180-D595-438A-A5BF-08552A8A4954}"/>
</file>

<file path=customXml/itemProps4.xml><?xml version="1.0" encoding="utf-8"?>
<ds:datastoreItem xmlns:ds="http://schemas.openxmlformats.org/officeDocument/2006/customXml" ds:itemID="{1FC56F70-5464-45DD-A7F3-3ACC3E51D141}"/>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