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219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linalyl acetate, 1-(1,2,3,4,5,6,7,8-octahydro-2,3,8,8-tetramethyl-2-naphthyl)ethan-1-one, 3,7-dimethylnona-1,6-dien-3-ol, benzyl salicylate, hexyl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Cipro.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Non applicabile</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219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219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linalyl acetate, 1-(1,2,3,4,5,6,7,8-octahydro-2,3,8,8-tetramethyl-2-naphthyl)ethan-1-one, 3,7-dimethylnona-1,6-dien-3-ol, benzyl salicylate, hexyl salicylate.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219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219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28/07/2026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73334BE-C190-4202-BD7A-976AFFA78599}"/>
</file>

<file path=customXml/itemProps3.xml><?xml version="1.0" encoding="utf-8"?>
<ds:datastoreItem xmlns:ds="http://schemas.openxmlformats.org/officeDocument/2006/customXml" ds:itemID="{551B44C6-5476-46C7-A95A-0A4A334A6E8E}"/>
</file>

<file path=customXml/itemProps4.xml><?xml version="1.0" encoding="utf-8"?>
<ds:datastoreItem xmlns:ds="http://schemas.openxmlformats.org/officeDocument/2006/customXml" ds:itemID="{BCBBEC77-7ED9-434B-A953-7982D4AFCAFE}"/>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