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106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P102 - Tenere fuori dalla portata dei bambini.</w:t>
              <w:br/>
              <w:t>P273 - Non disperdere nell’ambiente.</w:t>
              <w:br/>
              <w:t>P501 - Smaltire il prodotto e recipiente in un centro di smistamento, in conformità con la normativa locale.</w:t>
              <w:br/>
              <w:t>P101 - In caso di consultazione di un medico, tenere a disposizione il contenitore o l’etichetta del prodotto.</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geraniolo; (2E)-3,7-dimetilotta-2,6-dien-1-olo, α-hexylcinnamaldehyde, linalool, benzyl salicylate, 1-(1,2,3,4,5,6,7,8-octahydro-2,3,8,8-tetramethyl-2-naphthyl)ethan-1-one.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geraniolo (106-24-1)</w:t>
            </w:r>
          </w:p>
        </w:tc>
      </w:tr>
    </w:tbl>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Legnoso. Floreale. Pelle.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geraniolo (106-24-1)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di peso corporeo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geraniolo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geraniolo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106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geraniolo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106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geraniolo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geraniolo ; linalool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geraniolo; (2E)-3,7-dimetilotta-2,6-dien-1-olo, α-hexylcinnamaldehyde, linalool, benzyl salicylate, 1-(1,2,3,4,5,6,7,8-octahydro-2,3,8,8-tetramethyl-2-naphthyl)ethan-1-one.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106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106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17/07/2026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D8F9C89-DF16-4835-B325-CB21F4AE0CDA}"/>
</file>

<file path=customXml/itemProps3.xml><?xml version="1.0" encoding="utf-8"?>
<ds:datastoreItem xmlns:ds="http://schemas.openxmlformats.org/officeDocument/2006/customXml" ds:itemID="{7D205FA9-88A9-4C0D-A567-FA1A6548C4F5}"/>
</file>

<file path=customXml/itemProps4.xml><?xml version="1.0" encoding="utf-8"?>
<ds:datastoreItem xmlns:ds="http://schemas.openxmlformats.org/officeDocument/2006/customXml" ds:itemID="{AFFD2B15-F97A-47AF-87CB-025546FF9009}"/>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