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vieux rhum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isoamyl alcohol</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123-51-3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204-633-5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(Inhalation), H332 (ATE=1.5 mg/l/4h)</w:t>
              <w:br/>
              <w:t>Skin Irrit. 2, H315</w:t>
              <w:br/>
              <w:t>Eye Dam. 1, H318</w:t>
              <w:br/>
              <w:t>STOT SE 3, H335</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isoamyl alcohol</w:t>
            </w:r>
            <w:r w:rsidRPr="0069446B">
              <w:rPr>
                <w:noProof w:val="0"/>
                <w:color w:val="auto"/>
              </w:rPr>
              <w:t xml:space="preserve"> </w:t>
            </w:r>
            <w:r w:rsidRPr="0069446B" w:rsidR="00FD53E4">
              <w:rPr>
                <w:noProof/>
                <w:color w:val="auto"/>
              </w:rPr>
              <w:t>(123-51-3)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Isoamyl alcohol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2019/1831</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characteristic. Fresh. Woody.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isoamyl alcohol (123-51-3)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isoamyl alcohol (123-51-3)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405 mg/kg bodyweight Animal: rat, Animal sex: male, Guideline: OECD Guideline 443 (Extended One-Generation Reproductive Toxicity Study)</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1521 mg/kg bodyweight Animal: rat, Animal sex: female, Guideline: OECD Guideline 443 (Extended One-Generation Reproductive Toxicity Study)</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isoamyl alcohol (123-51-3)</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vieux rhum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isoamyl alcohol (123-51-3)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5.32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isoamyl alcohol (123-51-3)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120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173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353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113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vieux rhum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isoamyl alcohol (123-51-3)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benzyl alcohol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7/17/2026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7/17/2026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vieux rhum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vieux rhum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7/17/2026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24EDB6C-792F-4112-9D61-E307E7F1003C}"/>
</file>

<file path=customXml/itemProps3.xml><?xml version="1.0" encoding="utf-8"?>
<ds:datastoreItem xmlns:ds="http://schemas.openxmlformats.org/officeDocument/2006/customXml" ds:itemID="{ED7C50A8-4E64-4A64-B403-A8F40A675C35}"/>
</file>

<file path=customXml/itemProps4.xml><?xml version="1.0" encoding="utf-8"?>
<ds:datastoreItem xmlns:ds="http://schemas.openxmlformats.org/officeDocument/2006/customXml" ds:itemID="{5166C626-9B59-4A37-85D4-4359DB2E2B22}"/>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