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verveine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solids Not classified</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citronellol; d-limonene; citral; nerol; geraniol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not included in the list established in accordance with Article 59(1) of REACH for having endocrine disrupting properties, or is not identified as having endocrine disrupting properties in accordance with the criteria set out in Commission Delegated Regulation (EU) 2017/2100 or Commission Regulation (EU) 2018/605</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5392-40-5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3.5315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0.4942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0.378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Verbena. Citric. characteristic.</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bodyweight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&gt; 2000 mg/kg bodyweight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bodyweight Animal: rat, Animal sex: male, Guideline: OECD Guideline 401 (Acute Oral Toxicity), 95% CL: 3400 - 5600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bodyweight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bodyweight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bodyweight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dust/mist/fume,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(inhalation, rat, gas,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(inhalation, rat, gas,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bodyweight Animal: rat, Guideline: other:,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verveine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verveine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citronellol ; pin-2(3)-ene ; d-limonene ; nerol ; geraniol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Not classified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solids Not classified</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Not classified</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 judgement</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8/5/2026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8/5/2026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verveine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verveine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8/5/2026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04F72F5-7C7F-45D5-9E86-E1F9CD7F2947}"/>
</file>

<file path=customXml/itemProps3.xml><?xml version="1.0" encoding="utf-8"?>
<ds:datastoreItem xmlns:ds="http://schemas.openxmlformats.org/officeDocument/2006/customXml" ds:itemID="{4D5E323D-5359-4A4A-A694-B4163E89F5B2}"/>
</file>

<file path=customXml/itemProps4.xml><?xml version="1.0" encoding="utf-8"?>
<ds:datastoreItem xmlns:ds="http://schemas.openxmlformats.org/officeDocument/2006/customXml" ds:itemID="{0E5EFDD1-A60C-402E-95B4-C08A2C19A228}"/>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