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thé vert et osmanthus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geraniol; nerol; linalool; d-limonene; alpha-iso-methylionone; α-hexylcinnamaldehyde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Tea. Fruity. Floral.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bodyweight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bodyweight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bodyweight Animal: rat, Animal sex: male, Guideline: OECD Guideline 401 (Acute Oral Toxicity), 95% CL: 3400 - 5600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alpha-iso-methylionone (127-51-5)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alpha-iso-methylionone (127-51-5)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thé vert et osmanthus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Candle thé vert et osmanthus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geraniol ; nerol ; citral ; linalool ; pin-2(3)-ene ; d-limonene ; alpha-iso-methylionone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benzyl acetate ; pin-2(3)-ene ; d-limonene ; alpha-iso-methylionone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thé vert et osmanthus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thé vert et osmanthus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10/5/2026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BC3EAA6-44E3-4B97-AB44-3E182050AEA8}"/>
</file>

<file path=customXml/itemProps3.xml><?xml version="1.0" encoding="utf-8"?>
<ds:datastoreItem xmlns:ds="http://schemas.openxmlformats.org/officeDocument/2006/customXml" ds:itemID="{9D990FD1-1C88-4B2F-8085-DB9E97D5ACB6}"/>
</file>

<file path=customXml/itemProps4.xml><?xml version="1.0" encoding="utf-8"?>
<ds:datastoreItem xmlns:ds="http://schemas.openxmlformats.org/officeDocument/2006/customXml" ds:itemID="{CEF684CB-469F-43B1-B9AA-E826D302A235}"/>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