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pomme cannelle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Fragrance composition (fragrance).</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d-limonene; α-methylcinnamaldehyde; 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diethyl malonate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105-53-3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203-305-9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88-41-5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201-828-7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1.842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1.1683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bodyweight)</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hexanoate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123-68-2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(Oral), H301 (ATE=280 mg/kg bodyweight)</w:t>
              <w:br/>
              <w:t>Acute Tox. 3 (Dermal), H311 (ATE=820 mg/kg bodyweight)</w:t>
              <w:br/>
              <w:t>Acute Tox. 3 (Inhalation), H331 (ATE=0.5 mg/l/4h)</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Spicy.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0.994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allyl hexanoate (123-68-2)</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280 mg/kg bodyweight Animal: guinea pig, Guideline: OECD Guideline 401 (Acute Oral Toxicity), 95% CL: 246 - 319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820 mg/kg bodyweight Animal: rabbit, Guideline: OECD Guideline 402 (Acute Dermal Toxicity), 95% CL: 700 - 940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diethyl malonate (105-53-3)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15794 mg/kg bodyweight Animal: rat, Animal sex: male, Guideline: other:</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16960 mg/kg bodyweight Animal: rabbit, Animal sex: male,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bodyweight Animal: rat, Animal sex: female,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bodyweight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bodyweight Animal: rat, Animal sex: male, Guideline: other:</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bodyweight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bodyweight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pomme cannelle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allyl hexanoate (123-68-2)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0.117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4.6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diethyl malonate (105-53-3)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202.3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508.2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&gt; 800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pomme cannelle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allyl hexanoate (123-68-2)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diethyl malonate (105-53-3)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2-tert-butylcyclohexyl acetate (88-41-5)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p w:rsidR="00A65092" w:rsidRPr="0069446B" w:rsidP="00A65092" w14:paraId="1965DBDA" w14:textId="0FFE3A91">
      <w:pPr>
        <w:pStyle w:val="SDSTextNormal"/>
      </w:pPr>
      <w:r>
        <w:rPr>
          <w:noProof/>
        </w:rPr>
        <w:t>Contains no substance(s) listed on REACH Annex XVII (Restriction Conditions)</w:t>
      </w:r>
    </w:p>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(dermal), Category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if swallowed.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in contact with skin.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if inhaled.</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9/18/2026 (Revision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9/18/2026 (Revision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pomme cannelle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0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Candle pomme cannelle 10%</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according to the REACH Regulation (EC) 1907/2006 amended by Regulation (EU) 2020/878</w:t>
          </w:r>
        </w:p>
        <w:p w:rsidR="009C6C12" w:rsidRPr="008F5B08" w:rsidP="008F5B08" w14:paraId="31267F45" w14:textId="67A5CBF0">
          <w:pPr>
            <w:pStyle w:val="SDSTableTextHeader"/>
          </w:pPr>
          <w:r>
            <w:rPr>
              <w:noProof/>
            </w:rPr>
            <w:t>Issue date: 4/23/2026   Revision date: 9/18/2026   Supersedes version of: 4/23/2026   Version: 5.0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2B5BB14-BF4A-4672-8FE1-D54E1281BBAF}"/>
</file>

<file path=customXml/itemProps3.xml><?xml version="1.0" encoding="utf-8"?>
<ds:datastoreItem xmlns:ds="http://schemas.openxmlformats.org/officeDocument/2006/customXml" ds:itemID="{960E1B68-124C-44B7-9E7D-D0CBA98B0A52}"/>
</file>

<file path=customXml/itemProps4.xml><?xml version="1.0" encoding="utf-8"?>
<ds:datastoreItem xmlns:ds="http://schemas.openxmlformats.org/officeDocument/2006/customXml" ds:itemID="{432AF6C7-B316-4844-BC85-B9010971DDB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