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pacific sunrise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1-(2,6,6-trimethyl-3-cyclohexen-1-yl)-2-buten-1-one; 1-(1,2,3,4,5,6,7,8-octahydro-2,3,8,8-tetramethyl-2-naphthyl)ethan-1-one; linalool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F82798" w:rsidRPr="0069446B" w:rsidP="00A727C2" w14:paraId="2F7B68FE" w14:textId="77777777">
      <w:pPr>
        <w:pStyle w:val="SDSTextNormal"/>
      </w:pPr>
      <w:bookmarkStart w:id="0"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not meeting the PBT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not meeting the vPvB criteria of REACH regulation, in accordance with Annex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1"/>
    </w:tbl>
    <w:p w:rsidR="00B072A8" w:rsidRPr="0069446B" w:rsidP="00B072A8" w14:paraId="7788D936" w14:textId="77777777">
      <w:pPr>
        <w:pStyle w:val="SDSTextBlankLine"/>
      </w:pPr>
    </w:p>
    <w:bookmarkEnd w:id="0"/>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105-95-3</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Fruity.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5000 mg/kg bodyweight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 on other hazards</w:t>
      </w:r>
      <w:bookmarkEnd w:id="2"/>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pacific sunrise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1-(2,6,6-trimethyl-3-cyclohexen-1-yl)-2-buten-1-one (57378-68-4)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not meeting the PBT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not meeting the vPvB criteria of REACH regulation, in accordance with Annex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3"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1,3,4,6,7,8-hexahydro-4,6,6,7,8,8-hexamethylindeno[5,6-c]pyran ; 1,4-dioxacycloheptadecane-5,17-dione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Candle pacific sunrise 7%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pacific sunrise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pacific sunrise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CA67863-5B83-423E-AFEE-9D90B02748E6}"/>
</file>

<file path=customXml/itemProps3.xml><?xml version="1.0" encoding="utf-8"?>
<ds:datastoreItem xmlns:ds="http://schemas.openxmlformats.org/officeDocument/2006/customXml" ds:itemID="{F1CB94D1-E8E7-40E5-A80C-FE80978EB6C4}"/>
</file>

<file path=customXml/itemProps4.xml><?xml version="1.0" encoding="utf-8"?>
<ds:datastoreItem xmlns:ds="http://schemas.openxmlformats.org/officeDocument/2006/customXml" ds:itemID="{FAF78197-DD9D-490E-8781-37E81EFF51A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