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monoï coco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benzyl alcohol; 7-hydroxycitronellal; linalool; coumarin; α-hexylcinnamaldehyde; benzyl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P333+P313 - If skin irritation or rash occurs: Get medical advice/attention.</w:t>
              <w:br/>
              <w:t>P501 - Dispose of contents/container to a sorting center, in accordance with local regulations.</w:t>
              <w:br/>
              <w:t>P302+P352 - IF ON SKIN: Wash with plenty of soap and water.</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Fruity. tuberose. coconut.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bodyweight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bodyweight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monoï coco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monoï coco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alcohol ; 7-hydroxycitronellal ; linalool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6/26/2026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6/26/2026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monoï coco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monoï coco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6/26/2026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551E0A6-4A87-474F-A64B-F3DD1ACD437A}"/>
</file>

<file path=customXml/itemProps3.xml><?xml version="1.0" encoding="utf-8"?>
<ds:datastoreItem xmlns:ds="http://schemas.openxmlformats.org/officeDocument/2006/customXml" ds:itemID="{B98799C0-D97C-4B3C-B669-C1772AA848FC}"/>
</file>

<file path=customXml/itemProps4.xml><?xml version="1.0" encoding="utf-8"?>
<ds:datastoreItem xmlns:ds="http://schemas.openxmlformats.org/officeDocument/2006/customXml" ds:itemID="{98903C53-4D6E-474B-88A2-D42FC5CA18FB}"/>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