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bois fumé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1-(1,2,3,4,5,6,7,8-octahydro-2,3,8,8-tetramethyl-2-naphthyl)ethan-1-one; methyl cedryl ether;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Fume.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bodyweight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bois fumé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acetyl cedrene (32388-55-9)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bois fumé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bois fumé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bois fumé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10/6/2026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1AA1379-E9B9-47E4-96BD-B6AB2B6AAC34}"/>
</file>

<file path=customXml/itemProps3.xml><?xml version="1.0" encoding="utf-8"?>
<ds:datastoreItem xmlns:ds="http://schemas.openxmlformats.org/officeDocument/2006/customXml" ds:itemID="{C717039C-B87F-4F3D-8030-BEFEA2ABFBC1}"/>
</file>

<file path=customXml/itemProps4.xml><?xml version="1.0" encoding="utf-8"?>
<ds:datastoreItem xmlns:ds="http://schemas.openxmlformats.org/officeDocument/2006/customXml" ds:itemID="{EA57847C-64EE-4D13-8084-16CB94AB82A2}"/>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