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bois de teck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May cause an allergic skin reaction. Harmful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4-tert-butylcyclohexyl acetate; acetyl cedrene; 3,7-dimethyloctan-3-ol; α-hexylcinnamaldehyde; 1-(1,2,3,4,5,6,7,8-octahydro-2,3,8,8-tetramethyl-2-naphthyl)ethan-1-one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b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P302+P352 - IF ON SKIN: Wash with plenty of soap and water.</w:t>
              <w:br/>
              <w:t>P333+P313 - If skin irritation or rash occurs: Get medical advice/attention.</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ethylene brassylate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105-95-3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203-347-8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78-69-3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1-(5,6,7,8-tetrahydro-3,5,5,6,8,8-hexamethyl-2-naphthyl)ethan-1-one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1506-02-1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203-966-3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Aquatic Acute 1, H400</w:t>
              <w:br/>
              <w:t>Aquatic Chronic 1, H410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32388-55-9</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251-020-3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Woody. Amber. Musk.</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1-(5,6,7,8-tetrahydro-3,5,5,6,8,8-hexamethyl-2-naphthyl)ethan-1-one (1506-02-1)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bodyweight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4-tert-butylcyclohexyl acetate (32210-23-4)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bodyweight Animal: rat, Animal sex: female, Guideline: OECD Guideline 420 (Acute Oral Toxicity - Fixed Dose Method), Guideline: EU Method B.1 bis (Acute Oral Toxicity - Fixed Dose Procedure)</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4680 mg/kg Source: NITE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acetyl cedrene (32388-55-9)</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bodyweight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3,7-dimethyloctan-3-ol (78-69-3)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8270 mg/kg bodyweight Animal: rat</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ethylene brassylate (105-95-3)</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5000 mg/kg bodyweight Animal: rat</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bodyweight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acetyl cedrene (32388-55-9)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80 mg/kg bodyweight Animal: rat,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3,7-dimethyloctan-3-ol (78-69-3)</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ethylene brassylate (105-95-3)</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bois de teck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1-(5,6,7,8-tetrahydro-3,5,5,6,8,8-hexamethyl-2-naphthyl)ethan-1-one (1506-02-1)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4.4 mm²/s Temp.: '40°C' </w:t>
            </w:r>
            <w:r w:rsidRPr="0069446B">
              <w:rPr>
                <w:rFonts w:hint="eastAsia"/>
                <w:noProof/>
                <w:lang w:eastAsia="ja-JP"/>
              </w:rPr>
              <w:t>Parameter: 'kinematic viscosity (in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acetyl cedrene (32388-55-9)</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 xml:space="preserve">38.25 mm²/s Temp.: '20°C' </w:t>
            </w:r>
            <w:r w:rsidRPr="0069446B">
              <w:rPr>
                <w:rFonts w:hint="eastAsia"/>
                <w:noProof/>
                <w:lang w:eastAsia="ja-JP"/>
              </w:rPr>
              <w:t>Parameter: 'kinematic viscosity (in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E"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3,7-dimethyloctan-3-ol (78-69-3)</w:t>
            </w:r>
          </w:p>
        </w:tc>
      </w:tr>
      <w:tr w14:paraId="1484F7D1"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1-(5,6,7,8-tetrahydro-3,5,5,6,8,8-hexamethyl-2-naphthyl)ethan-1-one (1506-02-1)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550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&gt; 0.02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0.023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&gt; 0.22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&gt; 0.22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4-tert-butylcyclohexyl acetate (32210-23-4)</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0.549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acetyl cedrene (32388-55-9)</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 mg/l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3 mg/l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0.86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2.8 mg/l Test organisms (species): Raphidocelis subcapitata (previous names: Pseudokirchneriella subcapitata, Selenastrum capricornutum)</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&gt; 4.3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0.23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0.087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3,7-dimethyloctan-3-ol (78-69-3)</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8.9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14.2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ethylene brassylate (105-95-3)</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2.13 mg/l Test organisms (species): Danio rerio (previous name: Brachydanio rerio)</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6.94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14.579 mg/l Test organisms (species): Desmodesmus subspicatus (previous name: Scenedesmus subspicatus)</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0.788 mg/l Test organisms (species): other: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bois de teck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1-(5,6,7,8-tetrahydro-3,5,5,6,8,8-hexamethyl-2-naphthyl)ethan-1-one (1506-02-1)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4-tert-butylcyclohexyl acetate (32210-23-4)</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acetyl cedrene (32388-55-9)</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3,7-dimethyloctan-3-ol (78-69-3)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ethylene brassylate (105-95-3)</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4-tert-butylcyclohexyl acetate (32210-23-4)</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Partition coefficient n-octanol/water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4.8 Source: Pubchem</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4-tert-butylcyclohexyl acetate ; acetyl cedrene ; 3,7-dimethyloctan-3-ol ; alpha-pinene ; d-limonene ; Alcool benzylique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acetyl cedrene ; ethylene brassylate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(oral),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10/8/2026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10/8/2026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bois de teck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bois de teck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10/8/2026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E89D36D2-C8E0-4C12-9906-01D0A2D8CD72}"/>
</file>

<file path=customXml/itemProps3.xml><?xml version="1.0" encoding="utf-8"?>
<ds:datastoreItem xmlns:ds="http://schemas.openxmlformats.org/officeDocument/2006/customXml" ds:itemID="{0CF9F748-7DBD-4CEF-915A-470D5F0E946F}"/>
</file>

<file path=customXml/itemProps4.xml><?xml version="1.0" encoding="utf-8"?>
<ds:datastoreItem xmlns:ds="http://schemas.openxmlformats.org/officeDocument/2006/customXml" ds:itemID="{E3EC8ADD-6531-4415-B1C3-3C79BEBB4D89}"/>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