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221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citronellol; 3-(p-methoxyphenyl)-2-methylpropionaldehyde; linalool; d-limonene; 1-(1,2,3,4,5,6,7,8-octahydro-2,3,8,8-tetramethyl-2-naphthyl)ethan-1-one;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bodyweight Animal: rat, Animal sex: male, Guideline: OECD Guideline 401 (Acute Oral Toxicity), 95% CL: 3400 - 4600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221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221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3-(p-methoxyphenyl)-2-methylpropionaldehyde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221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221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AC765AF-65C7-49E5-8805-9A22E052A809}"/>
</file>

<file path=customXml/itemProps3.xml><?xml version="1.0" encoding="utf-8"?>
<ds:datastoreItem xmlns:ds="http://schemas.openxmlformats.org/officeDocument/2006/customXml" ds:itemID="{857B747E-5A8C-4E1A-B659-BF13101D0915}"/>
</file>

<file path=customXml/itemProps4.xml><?xml version="1.0" encoding="utf-8"?>
<ds:datastoreItem xmlns:ds="http://schemas.openxmlformats.org/officeDocument/2006/customXml" ds:itemID="{B4E8D135-A87C-4528-86B8-62C2B7F46C2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