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lin et coton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Peut provoquer une allergie cutanée.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H317 - Peut provoquer une allergie cutanée.</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P333+P313 - En cas d’irritation ou d’éruption cutanée: consulter un médecin.</w:t>
              <w:br/>
              <w:t>P337+P313 - Si l’irritation oculaire persiste: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 Éviter de respirer les poussières/fumées/gaz/brouillards/vapeurs/aérosols.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Aquatique.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de poids corporel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de poids corporel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2-methylpropan-2-ol (75-65-0)</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de poids corporel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de poids corporel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poids corporel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b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7FA62F6-9C71-4271-884F-ECA3F9CE879E}"/>
</file>

<file path=customXml/itemProps3.xml><?xml version="1.0" encoding="utf-8"?>
<ds:datastoreItem xmlns:ds="http://schemas.openxmlformats.org/officeDocument/2006/customXml" ds:itemID="{50647ADF-0D28-4FDB-9F9D-2F9F78FF322F}"/>
</file>

<file path=customXml/itemProps4.xml><?xml version="1.0" encoding="utf-8"?>
<ds:datastoreItem xmlns:ds="http://schemas.openxmlformats.org/officeDocument/2006/customXml" ds:itemID="{FF2BA7CB-DF71-44C9-A862-F508A453317F}"/>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